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ED0" w14:textId="33630A97"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D00FF6" w:rsidRPr="00D00FF6">
        <w:t>WPSDGENRWH1209</w:t>
      </w:r>
    </w:p>
    <w:p w14:paraId="2290248B" w14:textId="280C6D2F" w:rsidR="00E6385A" w:rsidRPr="00500C4E" w:rsidRDefault="00E6385A" w:rsidP="00F117C6">
      <w:pPr>
        <w:pStyle w:val="WPnumber"/>
      </w:pPr>
      <w:r>
        <w:tab/>
      </w:r>
      <w:r w:rsidR="000E19CA">
        <w:rPr>
          <w:rStyle w:val="CaptionChar"/>
          <w:b/>
          <w:bCs w:val="0"/>
        </w:rPr>
        <w:t xml:space="preserve">Revision </w:t>
      </w:r>
      <w:r w:rsidR="00D00FF6">
        <w:rPr>
          <w:rStyle w:val="CaptionChar"/>
          <w:b/>
          <w:bCs w:val="0"/>
        </w:rPr>
        <w:t>0</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48102D25" w14:textId="389D66CF" w:rsidR="000E19CA" w:rsidRDefault="00D00FF6" w:rsidP="000E19CA">
      <w:pPr>
        <w:jc w:val="right"/>
        <w:rPr>
          <w:rFonts w:cstheme="minorHAnsi"/>
          <w:b/>
          <w:sz w:val="28"/>
          <w:szCs w:val="28"/>
        </w:rPr>
      </w:pPr>
      <w:bookmarkStart w:id="1" w:name="_Hlk6984017"/>
      <w:r w:rsidRPr="00D00FF6">
        <w:rPr>
          <w:rFonts w:asciiTheme="minorHAnsi" w:hAnsiTheme="minorHAnsi" w:cstheme="minorHAnsi"/>
          <w:b/>
          <w:sz w:val="60"/>
          <w:szCs w:val="60"/>
        </w:rPr>
        <w:t xml:space="preserve">Commercial/Residential Flow Control Valves for Faucets and Showerheads  </w:t>
      </w:r>
    </w:p>
    <w:bookmarkEnd w:id="1"/>
    <w:p w14:paraId="2FA0BB49" w14:textId="77777777" w:rsidR="000E19CA" w:rsidRDefault="000E19CA" w:rsidP="000E19CA">
      <w:pPr>
        <w:jc w:val="right"/>
        <w:rPr>
          <w:rFonts w:cstheme="minorHAnsi"/>
          <w:b/>
          <w:sz w:val="28"/>
          <w:szCs w:val="28"/>
        </w:rPr>
      </w:pPr>
    </w:p>
    <w:p w14:paraId="6493C157" w14:textId="77777777" w:rsidR="002A37FC" w:rsidRDefault="002A37FC" w:rsidP="0062124C">
      <w:pPr>
        <w:ind w:left="6480"/>
        <w:rPr>
          <w:rFonts w:cstheme="minorHAnsi"/>
          <w:b/>
          <w:sz w:val="28"/>
          <w:szCs w:val="28"/>
        </w:rPr>
      </w:pPr>
    </w:p>
    <w:p w14:paraId="5B6B7C68" w14:textId="77777777" w:rsidR="002A37FC" w:rsidRDefault="002A37FC" w:rsidP="0062124C">
      <w:pPr>
        <w:ind w:left="6480"/>
        <w:rPr>
          <w:rFonts w:cstheme="minorHAnsi"/>
          <w:b/>
          <w:sz w:val="28"/>
          <w:szCs w:val="28"/>
        </w:rPr>
      </w:pPr>
    </w:p>
    <w:p w14:paraId="55FCB0BD" w14:textId="77777777" w:rsidR="002A37FC" w:rsidRDefault="002A37FC" w:rsidP="0062124C">
      <w:pPr>
        <w:ind w:left="6480"/>
        <w:rPr>
          <w:rFonts w:cstheme="minorHAnsi"/>
          <w:b/>
          <w:sz w:val="28"/>
          <w:szCs w:val="28"/>
        </w:rPr>
      </w:pPr>
    </w:p>
    <w:p w14:paraId="78E755AA" w14:textId="77777777" w:rsidR="002A37FC" w:rsidRDefault="002A37FC" w:rsidP="0062124C">
      <w:pPr>
        <w:ind w:left="6480"/>
        <w:rPr>
          <w:rFonts w:cstheme="minorHAnsi"/>
          <w:b/>
          <w:sz w:val="28"/>
          <w:szCs w:val="28"/>
        </w:rPr>
      </w:pPr>
    </w:p>
    <w:p w14:paraId="52394D75" w14:textId="77777777" w:rsidR="002A37FC" w:rsidRDefault="002A37FC" w:rsidP="0062124C">
      <w:pPr>
        <w:ind w:left="6480"/>
        <w:rPr>
          <w:rFonts w:cstheme="minorHAnsi"/>
          <w:b/>
          <w:sz w:val="28"/>
          <w:szCs w:val="28"/>
        </w:rPr>
      </w:pPr>
    </w:p>
    <w:p w14:paraId="0A64AAE6" w14:textId="24FEFCA0" w:rsidR="00E372B8" w:rsidRDefault="00063E35" w:rsidP="0062124C">
      <w:pPr>
        <w:ind w:left="6480"/>
        <w:rPr>
          <w:rFonts w:cstheme="minorHAnsi"/>
          <w:b/>
          <w:sz w:val="28"/>
          <w:szCs w:val="28"/>
        </w:rPr>
      </w:pPr>
      <w:r>
        <w:rPr>
          <w:rFonts w:cstheme="minorHAnsi"/>
          <w:b/>
          <w:sz w:val="28"/>
          <w:szCs w:val="28"/>
        </w:rPr>
        <w:t>May 3</w:t>
      </w:r>
      <w:r w:rsidR="00970B1F">
        <w:rPr>
          <w:rFonts w:cstheme="minorHAnsi"/>
          <w:b/>
          <w:sz w:val="28"/>
          <w:szCs w:val="28"/>
        </w:rPr>
        <w:t>, 201</w:t>
      </w:r>
      <w:r w:rsidR="003A27B4">
        <w:rPr>
          <w:rFonts w:cstheme="minorHAnsi"/>
          <w:b/>
          <w:sz w:val="28"/>
          <w:szCs w:val="28"/>
        </w:rPr>
        <w:t>9</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72B4CF00" w14:textId="77777777" w:rsidR="00D00FF6" w:rsidRDefault="00D00FF6" w:rsidP="003065AF">
      <w:pPr>
        <w:pStyle w:val="Heading1"/>
        <w:rPr>
          <w:rFonts w:ascii="Calibri" w:hAnsi="Calibri" w:cs="Times New Roman"/>
          <w:bCs w:val="0"/>
          <w:smallCaps w:val="0"/>
          <w:kern w:val="0"/>
          <w:szCs w:val="36"/>
        </w:rPr>
      </w:pPr>
      <w:r w:rsidRPr="00D00FF6">
        <w:rPr>
          <w:rFonts w:ascii="Calibri" w:hAnsi="Calibri" w:cs="Times New Roman"/>
          <w:bCs w:val="0"/>
          <w:smallCaps w:val="0"/>
          <w:kern w:val="0"/>
          <w:szCs w:val="36"/>
        </w:rPr>
        <w:lastRenderedPageBreak/>
        <w:t xml:space="preserve">Commercial/Residential Flow Control Valves for Faucets and Showerheads  </w:t>
      </w:r>
    </w:p>
    <w:p w14:paraId="6D4A1719" w14:textId="27513D99" w:rsidR="00413EF4" w:rsidRDefault="00413EF4" w:rsidP="003065AF">
      <w:pPr>
        <w:pStyle w:val="Heading1"/>
      </w:pPr>
      <w:r>
        <w:t>Introduction</w:t>
      </w:r>
    </w:p>
    <w:p w14:paraId="11509F1B" w14:textId="6A10D44C" w:rsidR="0062124C" w:rsidRPr="003065AF" w:rsidRDefault="0062124C" w:rsidP="003065AF">
      <w:pPr>
        <w:rPr>
          <w:rFonts w:asciiTheme="minorHAnsi" w:hAnsiTheme="minorHAnsi" w:cstheme="minorHAnsi"/>
          <w:sz w:val="20"/>
          <w:szCs w:val="20"/>
        </w:rPr>
      </w:pPr>
      <w:r w:rsidRPr="003065AF">
        <w:rPr>
          <w:sz w:val="20"/>
          <w:szCs w:val="20"/>
        </w:rPr>
        <w:t>This short form workpaper docum</w:t>
      </w:r>
      <w:r w:rsidR="003065AF" w:rsidRPr="003065AF">
        <w:rPr>
          <w:sz w:val="20"/>
          <w:szCs w:val="20"/>
        </w:rPr>
        <w:t xml:space="preserve">ents the values adopted from </w:t>
      </w:r>
      <w:r w:rsidR="00D00FF6">
        <w:rPr>
          <w:sz w:val="20"/>
          <w:szCs w:val="20"/>
        </w:rPr>
        <w:t>SCG</w:t>
      </w:r>
      <w:r w:rsidRPr="003065AF">
        <w:rPr>
          <w:sz w:val="20"/>
          <w:szCs w:val="20"/>
        </w:rPr>
        <w:t>’s workpaper entitled “</w:t>
      </w:r>
      <w:r w:rsidR="00D00FF6" w:rsidRPr="00D00FF6">
        <w:rPr>
          <w:rFonts w:cstheme="minorHAnsi"/>
          <w:sz w:val="20"/>
          <w:szCs w:val="20"/>
        </w:rPr>
        <w:t>Commercial/Residential Flow Control Valves for Faucets and Showerheads”</w:t>
      </w:r>
      <w:r w:rsidRPr="0062124C">
        <w:rPr>
          <w:sz w:val="20"/>
          <w:szCs w:val="20"/>
        </w:rPr>
        <w:t xml:space="preserve"> (</w:t>
      </w:r>
      <w:r w:rsidR="00D00FF6">
        <w:rPr>
          <w:sz w:val="20"/>
          <w:szCs w:val="20"/>
        </w:rPr>
        <w:t>WPSCGCCWH180504A Revision 0</w:t>
      </w:r>
      <w:r w:rsidRPr="0062124C">
        <w:rPr>
          <w:sz w:val="20"/>
          <w:szCs w:val="20"/>
        </w:rPr>
        <w:t xml:space="preserve">).  SDG&amp;E adopts all the values in </w:t>
      </w:r>
      <w:r w:rsidR="00D00FF6">
        <w:rPr>
          <w:sz w:val="20"/>
          <w:szCs w:val="20"/>
        </w:rPr>
        <w:t>WPSCGCCWH180504A Revision 0</w:t>
      </w:r>
      <w:r w:rsidRPr="0062124C">
        <w:rPr>
          <w:sz w:val="20"/>
          <w:szCs w:val="20"/>
        </w:rPr>
        <w:t>, with the following exceptions:</w:t>
      </w:r>
    </w:p>
    <w:p w14:paraId="2AA462CA" w14:textId="33657C4D" w:rsidR="0062124C" w:rsidRDefault="0062124C" w:rsidP="0062124C">
      <w:pPr>
        <w:pStyle w:val="ListParagraph"/>
        <w:numPr>
          <w:ilvl w:val="0"/>
          <w:numId w:val="18"/>
        </w:numPr>
        <w:jc w:val="both"/>
        <w:rPr>
          <w:sz w:val="20"/>
          <w:szCs w:val="20"/>
        </w:rPr>
      </w:pPr>
      <w:r>
        <w:rPr>
          <w:sz w:val="20"/>
          <w:szCs w:val="20"/>
        </w:rPr>
        <w:t xml:space="preserve">Measure Application Type was adjusted to </w:t>
      </w:r>
      <w:r w:rsidR="00D00FF6">
        <w:rPr>
          <w:sz w:val="20"/>
          <w:szCs w:val="20"/>
        </w:rPr>
        <w:t>A</w:t>
      </w:r>
      <w:r w:rsidR="00784F08">
        <w:rPr>
          <w:sz w:val="20"/>
          <w:szCs w:val="20"/>
        </w:rPr>
        <w:t>O</w:t>
      </w:r>
      <w:r w:rsidR="00D00FF6">
        <w:rPr>
          <w:sz w:val="20"/>
          <w:szCs w:val="20"/>
        </w:rPr>
        <w:t>E</w:t>
      </w:r>
      <w:r w:rsidRPr="00465C29">
        <w:rPr>
          <w:sz w:val="20"/>
          <w:szCs w:val="20"/>
        </w:rPr>
        <w:t xml:space="preserve"> from </w:t>
      </w:r>
      <w:r w:rsidR="00D00FF6">
        <w:rPr>
          <w:sz w:val="20"/>
          <w:szCs w:val="20"/>
        </w:rPr>
        <w:t>RE</w:t>
      </w:r>
      <w:r w:rsidR="00280773">
        <w:rPr>
          <w:sz w:val="20"/>
          <w:szCs w:val="20"/>
        </w:rPr>
        <w:t>A</w:t>
      </w:r>
    </w:p>
    <w:p w14:paraId="33D31880" w14:textId="0F0785E5" w:rsidR="00276B77" w:rsidRPr="00276B77" w:rsidRDefault="006B3496" w:rsidP="00280B1E">
      <w:pPr>
        <w:pStyle w:val="ListParagraph"/>
        <w:numPr>
          <w:ilvl w:val="0"/>
          <w:numId w:val="18"/>
        </w:numPr>
        <w:jc w:val="both"/>
      </w:pPr>
      <w:r w:rsidRPr="00DE68A8">
        <w:rPr>
          <w:sz w:val="20"/>
          <w:szCs w:val="20"/>
        </w:rPr>
        <w:t xml:space="preserve">SDG&amp;E submitted Residential </w:t>
      </w:r>
      <w:r w:rsidR="00DE68A8" w:rsidRPr="00DE68A8">
        <w:rPr>
          <w:sz w:val="20"/>
          <w:szCs w:val="20"/>
        </w:rPr>
        <w:t xml:space="preserve">and Commercial </w:t>
      </w:r>
      <w:r w:rsidRPr="00DE68A8">
        <w:rPr>
          <w:sz w:val="20"/>
          <w:szCs w:val="20"/>
        </w:rPr>
        <w:t>NTG ID = “All-Default&lt;2yrs</w:t>
      </w:r>
      <w:r w:rsidR="00DE68A8" w:rsidRPr="00DE68A8">
        <w:rPr>
          <w:sz w:val="20"/>
          <w:szCs w:val="20"/>
        </w:rPr>
        <w:t>” = 0.7 for all</w:t>
      </w:r>
      <w:r w:rsidR="00276B77">
        <w:rPr>
          <w:sz w:val="20"/>
          <w:szCs w:val="20"/>
        </w:rPr>
        <w:t xml:space="preserve"> </w:t>
      </w:r>
      <w:r w:rsidR="000A3D1F">
        <w:rPr>
          <w:sz w:val="20"/>
          <w:szCs w:val="20"/>
        </w:rPr>
        <w:t xml:space="preserve">showerhead FCV, </w:t>
      </w:r>
      <w:r w:rsidR="00276B77">
        <w:rPr>
          <w:sz w:val="20"/>
          <w:szCs w:val="20"/>
        </w:rPr>
        <w:t xml:space="preserve">kitchen and lavatory faucet </w:t>
      </w:r>
      <w:r w:rsidR="000A3D1F">
        <w:rPr>
          <w:sz w:val="20"/>
          <w:szCs w:val="20"/>
        </w:rPr>
        <w:t xml:space="preserve">FCV </w:t>
      </w:r>
      <w:r w:rsidR="00DE68A8" w:rsidRPr="00DE68A8">
        <w:rPr>
          <w:sz w:val="20"/>
          <w:szCs w:val="20"/>
        </w:rPr>
        <w:t>Implementations code, given no evaluated NTGR; new technology in program for 2 or fewer years</w:t>
      </w:r>
      <w:r w:rsidR="00276B77">
        <w:rPr>
          <w:sz w:val="20"/>
          <w:szCs w:val="20"/>
        </w:rPr>
        <w:t>.</w:t>
      </w:r>
    </w:p>
    <w:p w14:paraId="294890EF" w14:textId="77777777" w:rsidR="00276B77" w:rsidRDefault="00276B77" w:rsidP="00276B77">
      <w:pPr>
        <w:pStyle w:val="ListParagraph"/>
        <w:ind w:left="1080"/>
        <w:jc w:val="both"/>
        <w:rPr>
          <w:sz w:val="20"/>
          <w:szCs w:val="20"/>
        </w:rPr>
      </w:pPr>
    </w:p>
    <w:p w14:paraId="133347CC" w14:textId="445FC655" w:rsidR="00B57F32" w:rsidRDefault="00DE68A8" w:rsidP="00276B77">
      <w:pPr>
        <w:pStyle w:val="ListParagraph"/>
        <w:ind w:left="1080"/>
        <w:jc w:val="both"/>
      </w:pPr>
      <w:r w:rsidRPr="00DE68A8">
        <w:rPr>
          <w:sz w:val="20"/>
          <w:szCs w:val="20"/>
        </w:rPr>
        <w:t xml:space="preserve"> </w:t>
      </w:r>
      <w:r w:rsidR="00B57F32" w:rsidRPr="005734A4">
        <w:t>Document Revision History</w:t>
      </w:r>
      <w:r w:rsidR="00B57F32"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77A36BBE" w14:textId="77777777" w:rsidTr="00C131CB">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D00FF6" w:rsidRPr="00500C4E" w14:paraId="19ED8C42" w14:textId="77777777" w:rsidTr="00C131CB">
        <w:trPr>
          <w:trHeight w:val="20"/>
        </w:trPr>
        <w:tc>
          <w:tcPr>
            <w:tcW w:w="280" w:type="pct"/>
          </w:tcPr>
          <w:p w14:paraId="53695813" w14:textId="77777777" w:rsidR="00D00FF6" w:rsidRPr="000E2B6B" w:rsidRDefault="00D00FF6" w:rsidP="00D00FF6">
            <w:pPr>
              <w:jc w:val="center"/>
              <w:rPr>
                <w:rFonts w:cstheme="minorHAnsi"/>
              </w:rPr>
            </w:pPr>
            <w:r>
              <w:t>0</w:t>
            </w:r>
          </w:p>
        </w:tc>
        <w:tc>
          <w:tcPr>
            <w:tcW w:w="677" w:type="pct"/>
          </w:tcPr>
          <w:p w14:paraId="0B64BB14" w14:textId="4E5E874A" w:rsidR="00D00FF6" w:rsidRPr="000E2B6B" w:rsidRDefault="00D00FF6" w:rsidP="00D00FF6">
            <w:pPr>
              <w:jc w:val="center"/>
              <w:rPr>
                <w:rFonts w:cstheme="minorHAnsi"/>
              </w:rPr>
            </w:pPr>
            <w:r>
              <w:t>0</w:t>
            </w:r>
            <w:r w:rsidR="00063E35">
              <w:t>5</w:t>
            </w:r>
            <w:r>
              <w:t>/</w:t>
            </w:r>
            <w:r w:rsidR="00063E35">
              <w:t>3</w:t>
            </w:r>
            <w:r>
              <w:t>/2019</w:t>
            </w:r>
          </w:p>
        </w:tc>
        <w:tc>
          <w:tcPr>
            <w:tcW w:w="938" w:type="pct"/>
          </w:tcPr>
          <w:p w14:paraId="3269B081" w14:textId="63EF10BB" w:rsidR="00D00FF6" w:rsidRPr="000E2B6B" w:rsidRDefault="00D00FF6" w:rsidP="00D00FF6">
            <w:pPr>
              <w:rPr>
                <w:rFonts w:cstheme="minorHAnsi"/>
              </w:rPr>
            </w:pPr>
            <w:r>
              <w:rPr>
                <w:rFonts w:cstheme="minorHAnsi"/>
              </w:rPr>
              <w:t xml:space="preserve">Keith Valenzuela (AESC) </w:t>
            </w:r>
          </w:p>
        </w:tc>
        <w:tc>
          <w:tcPr>
            <w:tcW w:w="3105" w:type="pct"/>
          </w:tcPr>
          <w:p w14:paraId="261F4D84" w14:textId="5047AEB7" w:rsidR="00D00FF6" w:rsidRPr="005734A4" w:rsidRDefault="00D00FF6" w:rsidP="00D00FF6">
            <w:pPr>
              <w:rPr>
                <w:rFonts w:cstheme="minorHAnsi"/>
              </w:rPr>
            </w:pPr>
            <w:r>
              <w:rPr>
                <w:bCs/>
              </w:rPr>
              <w:t xml:space="preserve">Created short form workpaper to adopt </w:t>
            </w:r>
            <w:r>
              <w:t xml:space="preserve">WPSCGCCWH180504A Revision </w:t>
            </w:r>
            <w:r w:rsidR="00194CE5">
              <w:t>0</w:t>
            </w:r>
            <w:r>
              <w:t xml:space="preserve">. </w:t>
            </w:r>
          </w:p>
        </w:tc>
      </w:tr>
      <w:tr w:rsidR="00465C29" w:rsidRPr="00500C4E" w14:paraId="3F8262D5" w14:textId="77777777" w:rsidTr="00C131CB">
        <w:trPr>
          <w:trHeight w:val="20"/>
        </w:trPr>
        <w:tc>
          <w:tcPr>
            <w:tcW w:w="280" w:type="pct"/>
          </w:tcPr>
          <w:p w14:paraId="492A8882" w14:textId="1954DEE7" w:rsidR="00465C29" w:rsidRPr="00970B1F" w:rsidRDefault="00465C29" w:rsidP="00465C29">
            <w:pPr>
              <w:jc w:val="center"/>
              <w:rPr>
                <w:rStyle w:val="Strong"/>
                <w:b w:val="0"/>
              </w:rPr>
            </w:pPr>
          </w:p>
        </w:tc>
        <w:tc>
          <w:tcPr>
            <w:tcW w:w="677" w:type="pct"/>
          </w:tcPr>
          <w:p w14:paraId="7FC3B678" w14:textId="49BAAB92" w:rsidR="00465C29" w:rsidRPr="00970B1F" w:rsidRDefault="00465C29" w:rsidP="00465C29">
            <w:pPr>
              <w:jc w:val="center"/>
              <w:rPr>
                <w:rStyle w:val="Strong"/>
                <w:b w:val="0"/>
              </w:rPr>
            </w:pPr>
          </w:p>
        </w:tc>
        <w:tc>
          <w:tcPr>
            <w:tcW w:w="938" w:type="pct"/>
          </w:tcPr>
          <w:p w14:paraId="123C123B" w14:textId="5D98CB43" w:rsidR="00465C29" w:rsidRPr="000E2B6B" w:rsidRDefault="00465C29" w:rsidP="00465C29">
            <w:pPr>
              <w:rPr>
                <w:rStyle w:val="Strong"/>
                <w:b w:val="0"/>
              </w:rPr>
            </w:pPr>
          </w:p>
        </w:tc>
        <w:tc>
          <w:tcPr>
            <w:tcW w:w="3105" w:type="pct"/>
          </w:tcPr>
          <w:p w14:paraId="259425FF" w14:textId="6B4F55BB" w:rsidR="00465C29" w:rsidRPr="00762D81" w:rsidRDefault="00465C29" w:rsidP="00465C29">
            <w:pPr>
              <w:rPr>
                <w:rStyle w:val="Strong"/>
                <w:b w:val="0"/>
              </w:rPr>
            </w:pPr>
          </w:p>
        </w:tc>
      </w:tr>
      <w:tr w:rsidR="00465C29" w:rsidRPr="00500C4E" w14:paraId="4FCE8637" w14:textId="77777777" w:rsidTr="00C131CB">
        <w:trPr>
          <w:trHeight w:val="20"/>
        </w:trPr>
        <w:tc>
          <w:tcPr>
            <w:tcW w:w="280" w:type="pct"/>
          </w:tcPr>
          <w:p w14:paraId="08164BE4" w14:textId="70DA9504" w:rsidR="00465C29" w:rsidRPr="00F2079F" w:rsidRDefault="00465C29" w:rsidP="00465C29">
            <w:pPr>
              <w:jc w:val="center"/>
            </w:pPr>
          </w:p>
        </w:tc>
        <w:tc>
          <w:tcPr>
            <w:tcW w:w="677" w:type="pct"/>
          </w:tcPr>
          <w:p w14:paraId="5A6A1A61" w14:textId="231B7EC2" w:rsidR="00465C29" w:rsidRDefault="00465C29" w:rsidP="00465C29">
            <w:pPr>
              <w:jc w:val="center"/>
            </w:pPr>
          </w:p>
        </w:tc>
        <w:tc>
          <w:tcPr>
            <w:tcW w:w="938" w:type="pct"/>
          </w:tcPr>
          <w:p w14:paraId="3382F00D" w14:textId="41BA4CA7" w:rsidR="00465C29" w:rsidRDefault="00465C29" w:rsidP="00465C29"/>
        </w:tc>
        <w:tc>
          <w:tcPr>
            <w:tcW w:w="3105" w:type="pct"/>
          </w:tcPr>
          <w:p w14:paraId="41400361" w14:textId="30B242D2" w:rsidR="00465C29" w:rsidRPr="006A478E" w:rsidRDefault="00465C29" w:rsidP="00465C29">
            <w:pPr>
              <w:rPr>
                <w:bCs/>
              </w:rPr>
            </w:pPr>
          </w:p>
        </w:tc>
      </w:tr>
      <w:tr w:rsidR="00465C29" w:rsidRPr="00500C4E" w14:paraId="30437238" w14:textId="77777777" w:rsidTr="00C131CB">
        <w:trPr>
          <w:trHeight w:val="20"/>
        </w:trPr>
        <w:tc>
          <w:tcPr>
            <w:tcW w:w="280" w:type="pct"/>
          </w:tcPr>
          <w:p w14:paraId="6A379577" w14:textId="19DBF271" w:rsidR="00465C29" w:rsidRDefault="00465C29" w:rsidP="00465C29">
            <w:pPr>
              <w:jc w:val="center"/>
            </w:pPr>
          </w:p>
        </w:tc>
        <w:tc>
          <w:tcPr>
            <w:tcW w:w="677" w:type="pct"/>
          </w:tcPr>
          <w:p w14:paraId="716DF5E8" w14:textId="20F95FC6" w:rsidR="00465C29" w:rsidRDefault="00465C29" w:rsidP="00465C29">
            <w:pPr>
              <w:jc w:val="center"/>
            </w:pPr>
          </w:p>
        </w:tc>
        <w:tc>
          <w:tcPr>
            <w:tcW w:w="938" w:type="pct"/>
          </w:tcPr>
          <w:p w14:paraId="227FB2E7" w14:textId="1913A04D" w:rsidR="00465C29" w:rsidRDefault="00465C29" w:rsidP="00465C29">
            <w:pPr>
              <w:rPr>
                <w:rFonts w:cstheme="minorHAnsi"/>
              </w:rPr>
            </w:pPr>
          </w:p>
        </w:tc>
        <w:tc>
          <w:tcPr>
            <w:tcW w:w="3105" w:type="pct"/>
          </w:tcPr>
          <w:p w14:paraId="17FF17DF" w14:textId="0C93B1AB" w:rsidR="00465C29" w:rsidRDefault="00465C29" w:rsidP="00465C29">
            <w:pPr>
              <w:rPr>
                <w:bCs/>
              </w:rPr>
            </w:pPr>
          </w:p>
        </w:tc>
      </w:tr>
    </w:tbl>
    <w:p w14:paraId="40FFCDFD" w14:textId="77777777" w:rsidR="00DB71F1" w:rsidRDefault="00DB71F1" w:rsidP="00413EF4"/>
    <w:p w14:paraId="74778F9A" w14:textId="77777777" w:rsidR="000A3D1F" w:rsidRPr="00522234" w:rsidRDefault="000A3D1F" w:rsidP="000A3D1F">
      <w:pPr>
        <w:pStyle w:val="NoSpacing"/>
        <w:contextualSpacing/>
        <w:rPr>
          <w:rFonts w:eastAsia="Times New Roman" w:cstheme="minorHAnsi"/>
          <w:b/>
        </w:rPr>
      </w:pPr>
      <w:r w:rsidRPr="00522234">
        <w:rPr>
          <w:rFonts w:eastAsia="Times New Roman" w:cstheme="minorHAnsi"/>
          <w:b/>
        </w:rPr>
        <w:t>Eligibility requirements:</w:t>
      </w:r>
    </w:p>
    <w:p w14:paraId="29CCF4A4" w14:textId="77777777" w:rsidR="000A3D1F" w:rsidRPr="00522234" w:rsidRDefault="000A3D1F" w:rsidP="000A3D1F">
      <w:pPr>
        <w:pStyle w:val="Reminders"/>
        <w:ind w:firstLine="360"/>
        <w:rPr>
          <w:rFonts w:asciiTheme="minorHAnsi" w:hAnsiTheme="minorHAnsi" w:cstheme="minorHAnsi"/>
          <w:i w:val="0"/>
          <w:color w:val="auto"/>
          <w:szCs w:val="22"/>
        </w:rPr>
      </w:pPr>
      <w:r>
        <w:rPr>
          <w:rFonts w:asciiTheme="minorHAnsi" w:hAnsiTheme="minorHAnsi" w:cstheme="minorHAnsi"/>
          <w:i w:val="0"/>
          <w:color w:val="auto"/>
          <w:szCs w:val="22"/>
        </w:rPr>
        <w:t xml:space="preserve">Residential </w:t>
      </w:r>
      <w:r w:rsidRPr="00FC3485">
        <w:rPr>
          <w:rFonts w:asciiTheme="minorHAnsi" w:hAnsiTheme="minorHAnsi" w:cstheme="minorHAnsi"/>
          <w:i w:val="0"/>
          <w:color w:val="auto"/>
          <w:szCs w:val="22"/>
        </w:rPr>
        <w:t>Faucets</w:t>
      </w:r>
      <w:r>
        <w:rPr>
          <w:rFonts w:asciiTheme="minorHAnsi" w:hAnsiTheme="minorHAnsi" w:cstheme="minorHAnsi"/>
          <w:i w:val="0"/>
          <w:color w:val="auto"/>
          <w:szCs w:val="22"/>
        </w:rPr>
        <w:t xml:space="preserve"> and Showerhead</w:t>
      </w:r>
      <w:r w:rsidRPr="00FC3485">
        <w:rPr>
          <w:rFonts w:asciiTheme="minorHAnsi" w:hAnsiTheme="minorHAnsi" w:cstheme="minorHAnsi"/>
          <w:i w:val="0"/>
          <w:color w:val="auto"/>
          <w:szCs w:val="22"/>
        </w:rPr>
        <w:t xml:space="preserve"> Flow Control Valves:</w:t>
      </w:r>
    </w:p>
    <w:p w14:paraId="36D20E6C" w14:textId="77777777" w:rsidR="000A3D1F" w:rsidRDefault="000A3D1F" w:rsidP="000A3D1F">
      <w:pPr>
        <w:pStyle w:val="ListParagraph"/>
        <w:numPr>
          <w:ilvl w:val="0"/>
          <w:numId w:val="27"/>
        </w:numPr>
      </w:pPr>
      <w:r w:rsidRPr="00D7741D">
        <w:t xml:space="preserve">This workpaper addresses the savings associated with the installation of </w:t>
      </w:r>
      <w:r>
        <w:t>flow control valves</w:t>
      </w:r>
      <w:r w:rsidRPr="00D7741D">
        <w:t xml:space="preserve"> on bathroom or kitchen sinks for </w:t>
      </w:r>
      <w:r w:rsidRPr="00D7741D">
        <w:rPr>
          <w:rFonts w:hint="eastAsia"/>
        </w:rPr>
        <w:t>single</w:t>
      </w:r>
      <w:r w:rsidRPr="00D7741D">
        <w:t xml:space="preserve">, </w:t>
      </w:r>
      <w:r w:rsidRPr="00D7741D">
        <w:rPr>
          <w:rFonts w:hint="eastAsia"/>
        </w:rPr>
        <w:t>multi-</w:t>
      </w:r>
      <w:r w:rsidRPr="00D7741D">
        <w:t xml:space="preserve">family and mobile </w:t>
      </w:r>
      <w:r w:rsidRPr="00D7741D">
        <w:rPr>
          <w:rFonts w:hint="eastAsia"/>
        </w:rPr>
        <w:t>homes</w:t>
      </w:r>
      <w:r w:rsidRPr="00D7741D">
        <w:t xml:space="preserve">. </w:t>
      </w:r>
    </w:p>
    <w:p w14:paraId="33800CB8" w14:textId="77777777" w:rsidR="000A3D1F" w:rsidRDefault="000A3D1F" w:rsidP="000A3D1F">
      <w:pPr>
        <w:pStyle w:val="ListParagraph"/>
        <w:numPr>
          <w:ilvl w:val="0"/>
          <w:numId w:val="27"/>
        </w:numPr>
      </w:pPr>
      <w:r w:rsidRPr="00D7741D">
        <w:t>Mobile hom</w:t>
      </w:r>
      <w:r>
        <w:t>e faucet FCV savings are the same as single family</w:t>
      </w:r>
      <w:r w:rsidRPr="00D7741D">
        <w:t xml:space="preserve"> home savings. Mobile homes will not have separate defined measures. </w:t>
      </w:r>
    </w:p>
    <w:p w14:paraId="5274AD42" w14:textId="77777777" w:rsidR="000A3D1F" w:rsidRDefault="000A3D1F" w:rsidP="000A3D1F">
      <w:pPr>
        <w:pStyle w:val="ListParagraph"/>
        <w:numPr>
          <w:ilvl w:val="0"/>
          <w:numId w:val="27"/>
        </w:numPr>
      </w:pPr>
      <w:r w:rsidRPr="00D7741D">
        <w:t>Measures in this workpaper</w:t>
      </w:r>
      <w:r>
        <w:t xml:space="preserve"> include a combined/mix water flow rate at the faucet of 1.0 GPM </w:t>
      </w:r>
      <w:r w:rsidRPr="00D7741D">
        <w:t xml:space="preserve">for bathroom sinks and </w:t>
      </w:r>
      <w:r>
        <w:t xml:space="preserve">a mix/combine water flow rate of </w:t>
      </w:r>
      <w:r w:rsidRPr="009067FA">
        <w:t xml:space="preserve">1.5 </w:t>
      </w:r>
      <w:r w:rsidRPr="00D7741D">
        <w:t>GPM</w:t>
      </w:r>
      <w:r>
        <w:t xml:space="preserve"> at the faucet </w:t>
      </w:r>
      <w:r w:rsidRPr="00D7741D">
        <w:t>for kitchen sinks, eac</w:t>
      </w:r>
      <w:r>
        <w:t>h measure has single and m</w:t>
      </w:r>
      <w:r w:rsidRPr="00D7741D">
        <w:t xml:space="preserve">ultifamily option. </w:t>
      </w:r>
    </w:p>
    <w:p w14:paraId="6127A294" w14:textId="77777777" w:rsidR="000A3D1F" w:rsidRPr="003A054E" w:rsidRDefault="000A3D1F" w:rsidP="000A3D1F">
      <w:pPr>
        <w:pStyle w:val="ListParagraph"/>
        <w:numPr>
          <w:ilvl w:val="0"/>
          <w:numId w:val="27"/>
        </w:numPr>
      </w:pPr>
      <w:r>
        <w:t>Flow control valves for faucet water line inlets must be installed in pairs, one in the cold and one in the hot line.</w:t>
      </w:r>
    </w:p>
    <w:p w14:paraId="4894ED4B" w14:textId="77777777" w:rsidR="000A3D1F" w:rsidRPr="009579CC" w:rsidRDefault="000A3D1F" w:rsidP="000A3D1F">
      <w:pPr>
        <w:pStyle w:val="ListParagraph"/>
        <w:numPr>
          <w:ilvl w:val="0"/>
          <w:numId w:val="27"/>
        </w:numPr>
        <w:rPr>
          <w:rFonts w:ascii="Times New Roman" w:hAnsi="Times New Roman"/>
          <w:sz w:val="24"/>
        </w:rPr>
      </w:pPr>
      <w:r w:rsidRPr="009579CC">
        <w:rPr>
          <w:rFonts w:cstheme="minorHAnsi"/>
          <w:szCs w:val="22"/>
        </w:rPr>
        <w:t>Flow control valves for showerhead measures presented in this workpaper for residential applications apply to single-family and multi-family residential households</w:t>
      </w:r>
      <w:r w:rsidRPr="009579CC">
        <w:rPr>
          <w:rFonts w:ascii="Times New Roman" w:hAnsi="Times New Roman"/>
          <w:sz w:val="24"/>
        </w:rPr>
        <w:t>.</w:t>
      </w:r>
    </w:p>
    <w:p w14:paraId="146034CF" w14:textId="77777777" w:rsidR="000A3D1F" w:rsidRDefault="000A3D1F" w:rsidP="000A3D1F">
      <w:pPr>
        <w:pStyle w:val="ListParagraph"/>
        <w:numPr>
          <w:ilvl w:val="0"/>
          <w:numId w:val="27"/>
        </w:numPr>
        <w:rPr>
          <w:rFonts w:cstheme="minorHAnsi"/>
          <w:szCs w:val="22"/>
        </w:rPr>
      </w:pPr>
      <w:r w:rsidRPr="00421887">
        <w:rPr>
          <w:rFonts w:cstheme="minorHAnsi"/>
          <w:szCs w:val="22"/>
        </w:rPr>
        <w:t>Residential showerhead flow control valve measure will include (1.0, 1.25, 1.5) GPM.</w:t>
      </w:r>
    </w:p>
    <w:p w14:paraId="49D6A584" w14:textId="77777777" w:rsidR="000A3D1F" w:rsidRDefault="000A3D1F" w:rsidP="000A3D1F">
      <w:pPr>
        <w:pStyle w:val="Reminders"/>
        <w:numPr>
          <w:ilvl w:val="0"/>
          <w:numId w:val="27"/>
        </w:numPr>
        <w:rPr>
          <w:rFonts w:asciiTheme="minorHAnsi" w:hAnsiTheme="minorHAnsi" w:cstheme="minorHAnsi"/>
          <w:i w:val="0"/>
          <w:color w:val="auto"/>
          <w:szCs w:val="22"/>
        </w:rPr>
      </w:pPr>
      <w:r>
        <w:rPr>
          <w:rFonts w:asciiTheme="minorHAnsi" w:hAnsiTheme="minorHAnsi" w:cstheme="minorHAnsi"/>
          <w:i w:val="0"/>
          <w:color w:val="auto"/>
          <w:szCs w:val="22"/>
        </w:rPr>
        <w:t xml:space="preserve">FCV make, </w:t>
      </w:r>
      <w:r w:rsidRPr="009943D1">
        <w:rPr>
          <w:rFonts w:asciiTheme="minorHAnsi" w:hAnsiTheme="minorHAnsi" w:cstheme="minorHAnsi"/>
          <w:i w:val="0"/>
          <w:color w:val="auto"/>
          <w:szCs w:val="22"/>
        </w:rPr>
        <w:t>model</w:t>
      </w:r>
      <w:r>
        <w:rPr>
          <w:rFonts w:asciiTheme="minorHAnsi" w:hAnsiTheme="minorHAnsi" w:cstheme="minorHAnsi"/>
          <w:i w:val="0"/>
          <w:color w:val="auto"/>
          <w:szCs w:val="22"/>
        </w:rPr>
        <w:t xml:space="preserve"> number and flow rate </w:t>
      </w:r>
      <w:r w:rsidRPr="009943D1">
        <w:rPr>
          <w:rFonts w:asciiTheme="minorHAnsi" w:hAnsiTheme="minorHAnsi" w:cstheme="minorHAnsi"/>
          <w:i w:val="0"/>
          <w:color w:val="auto"/>
          <w:szCs w:val="22"/>
        </w:rPr>
        <w:t>must be included with a copy of the invoice.</w:t>
      </w:r>
    </w:p>
    <w:p w14:paraId="4A989B42" w14:textId="77777777" w:rsidR="000A3D1F" w:rsidRPr="00BA2538" w:rsidRDefault="000A3D1F" w:rsidP="000A3D1F">
      <w:pPr>
        <w:pStyle w:val="PR2"/>
        <w:numPr>
          <w:ilvl w:val="0"/>
          <w:numId w:val="27"/>
        </w:numPr>
        <w:rPr>
          <w:rFonts w:asciiTheme="minorHAnsi" w:eastAsia="Times New Roman" w:hAnsiTheme="minorHAnsi" w:cstheme="minorHAnsi"/>
        </w:rPr>
      </w:pPr>
      <w:r>
        <w:rPr>
          <w:rFonts w:asciiTheme="minorHAnsi" w:eastAsia="Times New Roman" w:hAnsiTheme="minorHAnsi" w:cstheme="minorHAnsi"/>
        </w:rPr>
        <w:t>Flow control valves are applicable to</w:t>
      </w:r>
      <w:r w:rsidRPr="00B37696">
        <w:rPr>
          <w:rFonts w:asciiTheme="minorHAnsi" w:eastAsia="Times New Roman" w:hAnsiTheme="minorHAnsi" w:cstheme="minorHAnsi"/>
        </w:rPr>
        <w:t xml:space="preserve"> existing faucets without an aerator and a flow rate of 2.2 GPM</w:t>
      </w:r>
      <w:r>
        <w:rPr>
          <w:rFonts w:asciiTheme="minorHAnsi" w:eastAsia="Times New Roman" w:hAnsiTheme="minorHAnsi" w:cstheme="minorHAnsi"/>
        </w:rPr>
        <w:t xml:space="preserve"> or greater</w:t>
      </w:r>
      <w:r w:rsidRPr="00B37696">
        <w:rPr>
          <w:rFonts w:asciiTheme="minorHAnsi" w:eastAsia="Times New Roman" w:hAnsiTheme="minorHAnsi" w:cstheme="minorHAnsi"/>
        </w:rPr>
        <w:t xml:space="preserve">. </w:t>
      </w:r>
    </w:p>
    <w:p w14:paraId="5B8918CE" w14:textId="77777777" w:rsidR="000A3D1F" w:rsidRPr="005A4DE2" w:rsidRDefault="000A3D1F" w:rsidP="000A3D1F">
      <w:pPr>
        <w:pStyle w:val="ListParagraph"/>
        <w:ind w:left="1440"/>
        <w:rPr>
          <w:rFonts w:ascii="Times New Roman" w:hAnsi="Times New Roman"/>
          <w:color w:val="FF0000"/>
          <w:sz w:val="24"/>
        </w:rPr>
      </w:pPr>
    </w:p>
    <w:p w14:paraId="35896AE8" w14:textId="77777777" w:rsidR="000A3D1F" w:rsidRPr="00BA2538" w:rsidRDefault="000A3D1F" w:rsidP="000A3D1F">
      <w:pPr>
        <w:pStyle w:val="Reminders"/>
        <w:rPr>
          <w:rFonts w:asciiTheme="minorHAnsi" w:hAnsiTheme="minorHAnsi" w:cstheme="minorHAnsi"/>
          <w:i w:val="0"/>
          <w:color w:val="auto"/>
          <w:szCs w:val="22"/>
        </w:rPr>
      </w:pPr>
      <w:r>
        <w:rPr>
          <w:rFonts w:asciiTheme="minorHAnsi" w:hAnsiTheme="minorHAnsi" w:cstheme="minorHAnsi"/>
          <w:i w:val="0"/>
          <w:color w:val="auto"/>
          <w:szCs w:val="22"/>
        </w:rPr>
        <w:t>Commercial</w:t>
      </w:r>
      <w:r w:rsidRPr="00FC3485">
        <w:rPr>
          <w:rFonts w:asciiTheme="minorHAnsi" w:hAnsiTheme="minorHAnsi" w:cstheme="minorHAnsi"/>
          <w:i w:val="0"/>
          <w:color w:val="auto"/>
          <w:szCs w:val="22"/>
        </w:rPr>
        <w:t xml:space="preserve"> Faucets</w:t>
      </w:r>
      <w:r>
        <w:rPr>
          <w:rFonts w:asciiTheme="minorHAnsi" w:hAnsiTheme="minorHAnsi" w:cstheme="minorHAnsi"/>
          <w:i w:val="0"/>
          <w:color w:val="auto"/>
          <w:szCs w:val="22"/>
        </w:rPr>
        <w:t xml:space="preserve"> and Showerhead</w:t>
      </w:r>
      <w:r w:rsidRPr="00FC3485">
        <w:rPr>
          <w:rFonts w:asciiTheme="minorHAnsi" w:hAnsiTheme="minorHAnsi" w:cstheme="minorHAnsi"/>
          <w:i w:val="0"/>
          <w:color w:val="auto"/>
          <w:szCs w:val="22"/>
        </w:rPr>
        <w:t xml:space="preserve"> Flow Control Valves:</w:t>
      </w:r>
    </w:p>
    <w:p w14:paraId="73D7187A" w14:textId="77777777" w:rsidR="000A3D1F" w:rsidRDefault="000A3D1F" w:rsidP="000A3D1F">
      <w:pPr>
        <w:pStyle w:val="Reminders"/>
        <w:numPr>
          <w:ilvl w:val="0"/>
          <w:numId w:val="25"/>
        </w:numPr>
        <w:ind w:left="1440"/>
        <w:rPr>
          <w:rFonts w:asciiTheme="minorHAnsi" w:hAnsiTheme="minorHAnsi" w:cstheme="minorHAnsi"/>
          <w:i w:val="0"/>
          <w:color w:val="auto"/>
          <w:szCs w:val="22"/>
        </w:rPr>
      </w:pPr>
      <w:r w:rsidRPr="004E63BA">
        <w:rPr>
          <w:rFonts w:asciiTheme="minorHAnsi" w:hAnsiTheme="minorHAnsi" w:cstheme="minorHAnsi"/>
          <w:i w:val="0"/>
          <w:color w:val="auto"/>
          <w:szCs w:val="22"/>
        </w:rPr>
        <w:t xml:space="preserve">The FCV measure for faucets is applicable to existing faucets in commercial buildings that have a flow rate of 2.2 GPM or greater. </w:t>
      </w:r>
    </w:p>
    <w:p w14:paraId="1DD2E421" w14:textId="77777777" w:rsidR="000A3D1F" w:rsidRPr="003426E5" w:rsidRDefault="000A3D1F" w:rsidP="000A3D1F">
      <w:pPr>
        <w:pStyle w:val="Reminders"/>
        <w:numPr>
          <w:ilvl w:val="0"/>
          <w:numId w:val="25"/>
        </w:numPr>
        <w:ind w:left="1440"/>
        <w:rPr>
          <w:rFonts w:asciiTheme="minorHAnsi" w:hAnsiTheme="minorHAnsi" w:cstheme="minorHAnsi"/>
          <w:i w:val="0"/>
          <w:color w:val="auto"/>
          <w:szCs w:val="22"/>
        </w:rPr>
      </w:pPr>
      <w:r w:rsidRPr="003426E5">
        <w:rPr>
          <w:rFonts w:asciiTheme="minorHAnsi" w:hAnsiTheme="minorHAnsi" w:cstheme="minorHAnsi"/>
          <w:i w:val="0"/>
          <w:color w:val="auto"/>
          <w:szCs w:val="22"/>
        </w:rPr>
        <w:t>Measures in this workpaper include a combined/mix water flow rate at the faucet of 1.0 GPM</w:t>
      </w:r>
      <w:r>
        <w:rPr>
          <w:rFonts w:asciiTheme="minorHAnsi" w:hAnsiTheme="minorHAnsi" w:cstheme="minorHAnsi"/>
          <w:i w:val="0"/>
          <w:color w:val="auto"/>
          <w:szCs w:val="22"/>
        </w:rPr>
        <w:t>.</w:t>
      </w:r>
      <w:r w:rsidRPr="003426E5">
        <w:rPr>
          <w:rFonts w:asciiTheme="minorHAnsi" w:hAnsiTheme="minorHAnsi" w:cstheme="minorHAnsi"/>
          <w:i w:val="0"/>
          <w:color w:val="auto"/>
          <w:szCs w:val="22"/>
        </w:rPr>
        <w:t xml:space="preserve"> </w:t>
      </w:r>
    </w:p>
    <w:p w14:paraId="3E86775E" w14:textId="77777777" w:rsidR="000A3D1F" w:rsidRPr="009943D1" w:rsidRDefault="000A3D1F" w:rsidP="000A3D1F">
      <w:pPr>
        <w:pStyle w:val="Reminders"/>
        <w:numPr>
          <w:ilvl w:val="0"/>
          <w:numId w:val="25"/>
        </w:numPr>
        <w:ind w:left="1440"/>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This </w:t>
      </w:r>
      <w:r w:rsidRPr="009943D1">
        <w:rPr>
          <w:rFonts w:asciiTheme="minorHAnsi" w:hAnsiTheme="minorHAnsi" w:cstheme="minorHAnsi"/>
          <w:i w:val="0"/>
          <w:color w:val="auto"/>
          <w:szCs w:val="22"/>
        </w:rPr>
        <w:t>workpaper includes only a Direct Install delivery method</w:t>
      </w:r>
      <w:r>
        <w:rPr>
          <w:rFonts w:asciiTheme="minorHAnsi" w:hAnsiTheme="minorHAnsi" w:cstheme="minorHAnsi"/>
          <w:i w:val="0"/>
          <w:color w:val="auto"/>
          <w:szCs w:val="22"/>
        </w:rPr>
        <w:t xml:space="preserve"> for flow control valves applied to commercial showerheads</w:t>
      </w:r>
      <w:r w:rsidRPr="009943D1">
        <w:rPr>
          <w:rFonts w:asciiTheme="minorHAnsi" w:hAnsiTheme="minorHAnsi" w:cstheme="minorHAnsi"/>
          <w:i w:val="0"/>
          <w:color w:val="auto"/>
          <w:szCs w:val="22"/>
        </w:rPr>
        <w:t>. All implementers of this measure will market and identify commercial facilities utilizing h</w:t>
      </w:r>
      <w:r>
        <w:rPr>
          <w:rFonts w:asciiTheme="minorHAnsi" w:hAnsiTheme="minorHAnsi" w:cstheme="minorHAnsi"/>
          <w:i w:val="0"/>
          <w:color w:val="auto"/>
          <w:szCs w:val="22"/>
        </w:rPr>
        <w:t>igher flow showerheads (&gt;2.5 GPM</w:t>
      </w:r>
      <w:r w:rsidRPr="009943D1">
        <w:rPr>
          <w:rFonts w:asciiTheme="minorHAnsi" w:hAnsiTheme="minorHAnsi" w:cstheme="minorHAnsi"/>
          <w:i w:val="0"/>
          <w:color w:val="auto"/>
          <w:szCs w:val="22"/>
        </w:rPr>
        <w:t>) and offer to</w:t>
      </w:r>
      <w:r>
        <w:rPr>
          <w:rFonts w:asciiTheme="minorHAnsi" w:hAnsiTheme="minorHAnsi" w:cstheme="minorHAnsi"/>
          <w:i w:val="0"/>
          <w:color w:val="auto"/>
          <w:szCs w:val="22"/>
        </w:rPr>
        <w:t xml:space="preserve"> install the retrofit add on FCV</w:t>
      </w:r>
      <w:r w:rsidRPr="009943D1">
        <w:rPr>
          <w:rFonts w:asciiTheme="minorHAnsi" w:hAnsiTheme="minorHAnsi" w:cstheme="minorHAnsi"/>
          <w:i w:val="0"/>
          <w:color w:val="auto"/>
          <w:szCs w:val="22"/>
        </w:rPr>
        <w:t xml:space="preserve"> (&lt;1.8</w:t>
      </w:r>
      <w:r>
        <w:rPr>
          <w:rFonts w:asciiTheme="minorHAnsi" w:hAnsiTheme="minorHAnsi" w:cstheme="minorHAnsi"/>
          <w:i w:val="0"/>
          <w:color w:val="auto"/>
          <w:szCs w:val="22"/>
        </w:rPr>
        <w:t xml:space="preserve"> GPM</w:t>
      </w:r>
      <w:r w:rsidRPr="009943D1">
        <w:rPr>
          <w:rFonts w:asciiTheme="minorHAnsi" w:hAnsiTheme="minorHAnsi" w:cstheme="minorHAnsi"/>
          <w:i w:val="0"/>
          <w:color w:val="auto"/>
          <w:szCs w:val="22"/>
        </w:rPr>
        <w:t>).</w:t>
      </w:r>
    </w:p>
    <w:p w14:paraId="479E1F86" w14:textId="77777777" w:rsidR="000A3D1F" w:rsidRDefault="000A3D1F" w:rsidP="000A3D1F">
      <w:pPr>
        <w:pStyle w:val="Reminders"/>
        <w:numPr>
          <w:ilvl w:val="0"/>
          <w:numId w:val="25"/>
        </w:numPr>
        <w:ind w:left="1440"/>
        <w:rPr>
          <w:rFonts w:asciiTheme="minorHAnsi" w:hAnsiTheme="minorHAnsi" w:cstheme="minorHAnsi"/>
          <w:i w:val="0"/>
          <w:color w:val="auto"/>
          <w:szCs w:val="22"/>
        </w:rPr>
      </w:pPr>
      <w:r>
        <w:rPr>
          <w:rFonts w:asciiTheme="minorHAnsi" w:hAnsiTheme="minorHAnsi" w:cstheme="minorHAnsi"/>
          <w:i w:val="0"/>
          <w:color w:val="auto"/>
          <w:szCs w:val="22"/>
        </w:rPr>
        <w:t xml:space="preserve">FCV make, </w:t>
      </w:r>
      <w:r w:rsidRPr="009943D1">
        <w:rPr>
          <w:rFonts w:asciiTheme="minorHAnsi" w:hAnsiTheme="minorHAnsi" w:cstheme="minorHAnsi"/>
          <w:i w:val="0"/>
          <w:color w:val="auto"/>
          <w:szCs w:val="22"/>
        </w:rPr>
        <w:t>model</w:t>
      </w:r>
      <w:r>
        <w:rPr>
          <w:rFonts w:asciiTheme="minorHAnsi" w:hAnsiTheme="minorHAnsi" w:cstheme="minorHAnsi"/>
          <w:i w:val="0"/>
          <w:color w:val="auto"/>
          <w:szCs w:val="22"/>
        </w:rPr>
        <w:t xml:space="preserve"> number and flow rate </w:t>
      </w:r>
      <w:r w:rsidRPr="009943D1">
        <w:rPr>
          <w:rFonts w:asciiTheme="minorHAnsi" w:hAnsiTheme="minorHAnsi" w:cstheme="minorHAnsi"/>
          <w:i w:val="0"/>
          <w:color w:val="auto"/>
          <w:szCs w:val="22"/>
        </w:rPr>
        <w:t>must be included with a copy of the invoice.</w:t>
      </w:r>
    </w:p>
    <w:p w14:paraId="182C315F" w14:textId="77777777" w:rsidR="000A3D1F" w:rsidRPr="00522234" w:rsidRDefault="000A3D1F" w:rsidP="000A3D1F">
      <w:pPr>
        <w:pStyle w:val="Reminders"/>
        <w:numPr>
          <w:ilvl w:val="0"/>
          <w:numId w:val="25"/>
        </w:numPr>
        <w:ind w:left="1440"/>
        <w:rPr>
          <w:rFonts w:asciiTheme="minorHAnsi" w:hAnsiTheme="minorHAnsi" w:cstheme="minorHAnsi"/>
          <w:i w:val="0"/>
          <w:color w:val="auto"/>
          <w:szCs w:val="22"/>
        </w:rPr>
      </w:pPr>
      <w:r>
        <w:rPr>
          <w:rFonts w:asciiTheme="minorHAnsi" w:hAnsiTheme="minorHAnsi" w:cstheme="minorHAnsi"/>
          <w:i w:val="0"/>
          <w:color w:val="auto"/>
          <w:szCs w:val="22"/>
        </w:rPr>
        <w:t>The commercial showerhead FCV will only be available in 1.5 GPM.</w:t>
      </w:r>
    </w:p>
    <w:p w14:paraId="726ECD3F" w14:textId="77777777" w:rsidR="000A3D1F" w:rsidRPr="002C39D1" w:rsidRDefault="000A3D1F" w:rsidP="000A3D1F">
      <w:pPr>
        <w:pStyle w:val="NoSpacing"/>
        <w:numPr>
          <w:ilvl w:val="0"/>
          <w:numId w:val="23"/>
        </w:numPr>
      </w:pPr>
      <w:r w:rsidRPr="00522234">
        <w:rPr>
          <w:b/>
        </w:rPr>
        <w:t>Implementation and installation requirements</w:t>
      </w:r>
      <w:r w:rsidRPr="00522234">
        <w:t>:</w:t>
      </w:r>
      <w:r w:rsidRPr="00920905">
        <w:rPr>
          <w:color w:val="FF0000"/>
        </w:rPr>
        <w:t xml:space="preserve"> </w:t>
      </w:r>
    </w:p>
    <w:p w14:paraId="1FC4CB85" w14:textId="77777777" w:rsidR="000A3D1F" w:rsidRPr="00BA2538" w:rsidRDefault="000A3D1F" w:rsidP="000A3D1F">
      <w:pPr>
        <w:pStyle w:val="Reminders"/>
        <w:ind w:left="720"/>
        <w:rPr>
          <w:rFonts w:asciiTheme="minorHAnsi" w:hAnsiTheme="minorHAnsi" w:cstheme="minorHAnsi"/>
          <w:i w:val="0"/>
          <w:color w:val="auto"/>
          <w:szCs w:val="22"/>
        </w:rPr>
      </w:pPr>
      <w:r w:rsidRPr="00B37696">
        <w:rPr>
          <w:rFonts w:asciiTheme="minorHAnsi" w:hAnsiTheme="minorHAnsi" w:cstheme="minorHAnsi"/>
          <w:i w:val="0"/>
          <w:color w:val="auto"/>
          <w:szCs w:val="22"/>
        </w:rPr>
        <w:t>Residential Faucets and Showerhead Flow Control Valves:</w:t>
      </w:r>
      <w:r w:rsidRPr="00B37696">
        <w:rPr>
          <w:rFonts w:asciiTheme="minorHAnsi" w:hAnsiTheme="minorHAnsi" w:cstheme="minorHAnsi"/>
        </w:rPr>
        <w:t xml:space="preserve"> </w:t>
      </w:r>
    </w:p>
    <w:p w14:paraId="5BC07ADE" w14:textId="77777777" w:rsidR="000A3D1F" w:rsidRDefault="000A3D1F" w:rsidP="000A3D1F">
      <w:pPr>
        <w:pStyle w:val="Reminders"/>
        <w:numPr>
          <w:ilvl w:val="0"/>
          <w:numId w:val="29"/>
        </w:numPr>
        <w:rPr>
          <w:rFonts w:asciiTheme="minorHAnsi" w:hAnsiTheme="minorHAnsi" w:cstheme="minorHAnsi"/>
          <w:i w:val="0"/>
          <w:color w:val="auto"/>
          <w:szCs w:val="22"/>
        </w:rPr>
      </w:pPr>
      <w:r>
        <w:rPr>
          <w:rFonts w:asciiTheme="minorHAnsi" w:hAnsiTheme="minorHAnsi" w:cstheme="minorHAnsi"/>
          <w:i w:val="0"/>
          <w:color w:val="auto"/>
          <w:szCs w:val="22"/>
        </w:rPr>
        <w:t>Flow control valves must have a rated GPM of</w:t>
      </w:r>
    </w:p>
    <w:p w14:paraId="0236706B" w14:textId="77777777" w:rsidR="000A3D1F" w:rsidRDefault="000A3D1F" w:rsidP="000A3D1F">
      <w:pPr>
        <w:pStyle w:val="Reminders"/>
        <w:numPr>
          <w:ilvl w:val="1"/>
          <w:numId w:val="29"/>
        </w:numPr>
        <w:rPr>
          <w:rFonts w:asciiTheme="minorHAnsi" w:hAnsiTheme="minorHAnsi" w:cstheme="minorHAnsi"/>
          <w:i w:val="0"/>
          <w:color w:val="auto"/>
          <w:szCs w:val="22"/>
        </w:rPr>
      </w:pPr>
      <w:r>
        <w:rPr>
          <w:rFonts w:asciiTheme="minorHAnsi" w:hAnsiTheme="minorHAnsi" w:cstheme="minorHAnsi"/>
          <w:i w:val="0"/>
          <w:color w:val="auto"/>
          <w:szCs w:val="22"/>
        </w:rPr>
        <w:t>0.50 GPM for bathroom sinks for a combined/mix flow rate of 1.0 GPM.</w:t>
      </w:r>
    </w:p>
    <w:p w14:paraId="7D835D35" w14:textId="77777777" w:rsidR="000A3D1F" w:rsidRDefault="000A3D1F" w:rsidP="000A3D1F">
      <w:pPr>
        <w:pStyle w:val="Reminders"/>
        <w:numPr>
          <w:ilvl w:val="1"/>
          <w:numId w:val="29"/>
        </w:numPr>
        <w:rPr>
          <w:rFonts w:asciiTheme="minorHAnsi" w:hAnsiTheme="minorHAnsi" w:cstheme="minorHAnsi"/>
          <w:i w:val="0"/>
          <w:color w:val="auto"/>
          <w:szCs w:val="22"/>
        </w:rPr>
      </w:pPr>
      <w:r>
        <w:rPr>
          <w:rFonts w:asciiTheme="minorHAnsi" w:hAnsiTheme="minorHAnsi" w:cstheme="minorHAnsi"/>
          <w:i w:val="0"/>
          <w:color w:val="auto"/>
          <w:szCs w:val="22"/>
        </w:rPr>
        <w:t>0.75 GPM for kitchen sinks for a combined/mix flow rate of 1.5 GPM.</w:t>
      </w:r>
    </w:p>
    <w:p w14:paraId="339BBE22" w14:textId="77777777" w:rsidR="000A3D1F" w:rsidRPr="00B37696" w:rsidRDefault="000A3D1F" w:rsidP="000A3D1F">
      <w:pPr>
        <w:pStyle w:val="Reminders"/>
        <w:ind w:left="1080"/>
        <w:rPr>
          <w:rFonts w:asciiTheme="minorHAnsi" w:hAnsiTheme="minorHAnsi" w:cstheme="minorHAnsi"/>
          <w:i w:val="0"/>
          <w:color w:val="auto"/>
          <w:szCs w:val="22"/>
        </w:rPr>
      </w:pPr>
    </w:p>
    <w:p w14:paraId="78D9DCEA" w14:textId="77777777" w:rsidR="000A3D1F" w:rsidRDefault="000A3D1F" w:rsidP="000A3D1F">
      <w:pPr>
        <w:pStyle w:val="Reminders"/>
        <w:ind w:firstLine="720"/>
        <w:rPr>
          <w:rFonts w:asciiTheme="minorHAnsi" w:hAnsiTheme="minorHAnsi" w:cstheme="minorHAnsi"/>
          <w:i w:val="0"/>
          <w:color w:val="auto"/>
          <w:szCs w:val="22"/>
        </w:rPr>
      </w:pPr>
      <w:r>
        <w:rPr>
          <w:rFonts w:asciiTheme="minorHAnsi" w:hAnsiTheme="minorHAnsi" w:cstheme="minorHAnsi"/>
          <w:i w:val="0"/>
          <w:color w:val="auto"/>
          <w:szCs w:val="22"/>
        </w:rPr>
        <w:t>Commercial</w:t>
      </w:r>
      <w:r w:rsidRPr="00FC3485">
        <w:rPr>
          <w:rFonts w:asciiTheme="minorHAnsi" w:hAnsiTheme="minorHAnsi" w:cstheme="minorHAnsi"/>
          <w:i w:val="0"/>
          <w:color w:val="auto"/>
          <w:szCs w:val="22"/>
        </w:rPr>
        <w:t xml:space="preserve"> Faucets</w:t>
      </w:r>
      <w:r>
        <w:rPr>
          <w:rFonts w:asciiTheme="minorHAnsi" w:hAnsiTheme="minorHAnsi" w:cstheme="minorHAnsi"/>
          <w:i w:val="0"/>
          <w:color w:val="auto"/>
          <w:szCs w:val="22"/>
        </w:rPr>
        <w:t xml:space="preserve"> and Showerhead</w:t>
      </w:r>
      <w:r w:rsidRPr="00FC3485">
        <w:rPr>
          <w:rFonts w:asciiTheme="minorHAnsi" w:hAnsiTheme="minorHAnsi" w:cstheme="minorHAnsi"/>
          <w:i w:val="0"/>
          <w:color w:val="auto"/>
          <w:szCs w:val="22"/>
        </w:rPr>
        <w:t xml:space="preserve"> Flow Control Valves:</w:t>
      </w:r>
    </w:p>
    <w:p w14:paraId="58FCF08C" w14:textId="77777777" w:rsidR="000A3D1F" w:rsidRPr="002C39D1" w:rsidRDefault="000A3D1F" w:rsidP="000A3D1F">
      <w:pPr>
        <w:pStyle w:val="ListParagraph"/>
        <w:numPr>
          <w:ilvl w:val="0"/>
          <w:numId w:val="26"/>
        </w:numPr>
        <w:tabs>
          <w:tab w:val="left" w:pos="1170"/>
        </w:tabs>
        <w:ind w:left="1350" w:hanging="270"/>
        <w:rPr>
          <w:rFonts w:cstheme="minorHAnsi"/>
          <w:szCs w:val="22"/>
        </w:rPr>
      </w:pPr>
      <w:r>
        <w:rPr>
          <w:rFonts w:cstheme="minorHAnsi"/>
          <w:szCs w:val="22"/>
        </w:rPr>
        <w:t xml:space="preserve">    </w:t>
      </w:r>
      <w:r w:rsidRPr="002C39D1">
        <w:rPr>
          <w:rFonts w:cstheme="minorHAnsi"/>
          <w:szCs w:val="22"/>
        </w:rPr>
        <w:t xml:space="preserve">The </w:t>
      </w:r>
      <w:r>
        <w:rPr>
          <w:rFonts w:cstheme="minorHAnsi"/>
          <w:szCs w:val="22"/>
        </w:rPr>
        <w:t xml:space="preserve">FCV showerhead </w:t>
      </w:r>
      <w:r w:rsidRPr="002C39D1">
        <w:rPr>
          <w:rFonts w:cstheme="minorHAnsi"/>
          <w:szCs w:val="22"/>
        </w:rPr>
        <w:t>measures defined</w:t>
      </w:r>
      <w:r>
        <w:rPr>
          <w:rFonts w:cstheme="minorHAnsi"/>
          <w:szCs w:val="22"/>
        </w:rPr>
        <w:t xml:space="preserve"> </w:t>
      </w:r>
      <w:r w:rsidRPr="002C39D1">
        <w:rPr>
          <w:rFonts w:cstheme="minorHAnsi"/>
          <w:szCs w:val="22"/>
        </w:rPr>
        <w:t>in this workpaper are applicable to existing buildings only. Newly constructed buildings, additions to existing buildings, and alterations to existing buildings are excluded.</w:t>
      </w:r>
    </w:p>
    <w:p w14:paraId="7AA5084B" w14:textId="77777777" w:rsidR="000A3D1F" w:rsidRDefault="000A3D1F" w:rsidP="000A3D1F">
      <w:pPr>
        <w:pStyle w:val="ListParagraph"/>
        <w:numPr>
          <w:ilvl w:val="0"/>
          <w:numId w:val="26"/>
        </w:numPr>
        <w:ind w:left="1350" w:hanging="270"/>
        <w:rPr>
          <w:rFonts w:cstheme="minorHAnsi"/>
          <w:szCs w:val="22"/>
        </w:rPr>
      </w:pPr>
      <w:r w:rsidRPr="002C39D1">
        <w:rPr>
          <w:rFonts w:cstheme="minorHAnsi"/>
          <w:szCs w:val="22"/>
        </w:rPr>
        <w:t xml:space="preserve">Gas savings from </w:t>
      </w:r>
      <w:r>
        <w:rPr>
          <w:rFonts w:cstheme="minorHAnsi"/>
          <w:szCs w:val="22"/>
        </w:rPr>
        <w:t xml:space="preserve">showerhead FCVs </w:t>
      </w:r>
      <w:r w:rsidRPr="002C39D1">
        <w:rPr>
          <w:rFonts w:cstheme="minorHAnsi"/>
          <w:szCs w:val="22"/>
        </w:rPr>
        <w:t>will apply</w:t>
      </w:r>
      <w:r>
        <w:rPr>
          <w:rFonts w:cstheme="minorHAnsi"/>
          <w:szCs w:val="22"/>
        </w:rPr>
        <w:t xml:space="preserve"> to both lodging building </w:t>
      </w:r>
      <w:proofErr w:type="gramStart"/>
      <w:r>
        <w:rPr>
          <w:rFonts w:cstheme="minorHAnsi"/>
          <w:szCs w:val="22"/>
        </w:rPr>
        <w:t>types</w:t>
      </w:r>
      <w:r w:rsidRPr="000C2DE7">
        <w:rPr>
          <w:rFonts w:cstheme="minorHAnsi"/>
          <w:szCs w:val="22"/>
        </w:rPr>
        <w:t>(</w:t>
      </w:r>
      <w:proofErr w:type="gramEnd"/>
      <w:r w:rsidRPr="000C2DE7">
        <w:rPr>
          <w:rFonts w:cstheme="minorHAnsi"/>
          <w:szCs w:val="22"/>
        </w:rPr>
        <w:t xml:space="preserve">Hotel/Motel), as well as all other commercial building types. The COM building type designation will include, but is not limited to, educational facilities (University, Public/Private Schools), healthcare facilities, small/large office buildings, fitness centers, and municipal facilities (Recreation centers, parks). </w:t>
      </w:r>
    </w:p>
    <w:p w14:paraId="283C127E" w14:textId="77777777" w:rsidR="000A3D1F" w:rsidRPr="00F1422F" w:rsidRDefault="000A3D1F" w:rsidP="000A3D1F">
      <w:pPr>
        <w:pStyle w:val="ListParagraph"/>
        <w:numPr>
          <w:ilvl w:val="0"/>
          <w:numId w:val="26"/>
        </w:numPr>
        <w:ind w:left="1350" w:hanging="270"/>
        <w:rPr>
          <w:rFonts w:cstheme="minorHAnsi"/>
          <w:szCs w:val="22"/>
        </w:rPr>
      </w:pPr>
      <w:r w:rsidRPr="00F1422F">
        <w:rPr>
          <w:rFonts w:cstheme="minorHAnsi"/>
          <w:szCs w:val="22"/>
        </w:rPr>
        <w:t xml:space="preserve">Faucet FCVs </w:t>
      </w:r>
      <w:r>
        <w:rPr>
          <w:rFonts w:cstheme="minorHAnsi"/>
          <w:szCs w:val="22"/>
        </w:rPr>
        <w:t xml:space="preserve">shall </w:t>
      </w:r>
      <w:r w:rsidRPr="00F1422F">
        <w:rPr>
          <w:rFonts w:cstheme="minorHAnsi"/>
          <w:szCs w:val="22"/>
        </w:rPr>
        <w:t>be implemented at private or public lavatory faucets in commercial buildings as a Retrofit Ad</w:t>
      </w:r>
      <w:r>
        <w:rPr>
          <w:rFonts w:cstheme="minorHAnsi"/>
          <w:szCs w:val="22"/>
        </w:rPr>
        <w:t>d-on (REA)</w:t>
      </w:r>
      <w:r w:rsidRPr="00F1422F">
        <w:rPr>
          <w:rFonts w:cstheme="minorHAnsi"/>
          <w:szCs w:val="22"/>
        </w:rPr>
        <w:t xml:space="preserve">. </w:t>
      </w:r>
      <w:r w:rsidRPr="00F1422F">
        <w:rPr>
          <w:rFonts w:cstheme="minorHAnsi"/>
          <w:color w:val="000000" w:themeColor="text1"/>
          <w:szCs w:val="22"/>
        </w:rPr>
        <w:t xml:space="preserve">These building types include, but are not limited to, restaurants, hotels/motels, schools, universities, university campus housing, retail and offices. </w:t>
      </w:r>
    </w:p>
    <w:p w14:paraId="239E3F52" w14:textId="77777777" w:rsidR="000A3D1F" w:rsidRPr="00F1422F" w:rsidRDefault="000A3D1F" w:rsidP="000A3D1F">
      <w:pPr>
        <w:pStyle w:val="ListParagraph"/>
        <w:numPr>
          <w:ilvl w:val="0"/>
          <w:numId w:val="26"/>
        </w:numPr>
        <w:ind w:left="1350" w:hanging="270"/>
        <w:rPr>
          <w:rFonts w:cstheme="minorHAnsi"/>
          <w:szCs w:val="22"/>
        </w:rPr>
      </w:pPr>
      <w:r w:rsidRPr="00F1422F">
        <w:rPr>
          <w:rFonts w:cstheme="minorHAnsi"/>
          <w:color w:val="000000" w:themeColor="text1"/>
          <w:szCs w:val="22"/>
        </w:rPr>
        <w:t>Private lavatory faucets are defined as those that are found in individual dwelling units such as a hotel/motel guest room, dorm room, or nursing home room. Public lavatory faucets are defined as those found in bathrooms shared by a communal area such as a school, restaurant, hotel lobby, or office building.</w:t>
      </w:r>
    </w:p>
    <w:p w14:paraId="08EFF493" w14:textId="77777777" w:rsidR="000A3D1F" w:rsidRDefault="000A3D1F" w:rsidP="000A3D1F">
      <w:pPr>
        <w:pStyle w:val="ListParagraph"/>
        <w:numPr>
          <w:ilvl w:val="0"/>
          <w:numId w:val="26"/>
        </w:numPr>
        <w:ind w:left="1350" w:hanging="270"/>
        <w:rPr>
          <w:rFonts w:cstheme="minorHAnsi"/>
          <w:szCs w:val="22"/>
        </w:rPr>
      </w:pPr>
      <w:r w:rsidRPr="00F1422F">
        <w:rPr>
          <w:rFonts w:cstheme="minorHAnsi"/>
          <w:szCs w:val="22"/>
        </w:rPr>
        <w:t xml:space="preserve">Faucets at health care facilities that are subject to the Office of Statewide Health Planning and Development (OSHPD) code and regulation (e.g. hospitals, clinics, skilled nursing facilities) are not applicable for this measure. </w:t>
      </w:r>
    </w:p>
    <w:p w14:paraId="78865F53" w14:textId="77777777" w:rsidR="000A3D1F" w:rsidRPr="00C635B6" w:rsidRDefault="000A3D1F" w:rsidP="000A3D1F">
      <w:pPr>
        <w:pStyle w:val="ListParagraph"/>
        <w:numPr>
          <w:ilvl w:val="0"/>
          <w:numId w:val="26"/>
        </w:numPr>
        <w:ind w:left="1350" w:hanging="270"/>
        <w:rPr>
          <w:rFonts w:cstheme="minorHAnsi"/>
          <w:szCs w:val="22"/>
        </w:rPr>
      </w:pPr>
      <w:r>
        <w:rPr>
          <w:rFonts w:cstheme="minorHAnsi"/>
          <w:szCs w:val="22"/>
        </w:rPr>
        <w:t>FCVs installed in commercial faucets must be rated at 0.5 GPM for a mix/combined flow rate of 1.00 GPM.</w:t>
      </w:r>
    </w:p>
    <w:p w14:paraId="5603EEA2" w14:textId="77777777" w:rsidR="000A3D1F" w:rsidRPr="00920905" w:rsidRDefault="000A3D1F" w:rsidP="000A3D1F">
      <w:pPr>
        <w:pStyle w:val="NoSpacing"/>
        <w:ind w:left="720"/>
      </w:pPr>
    </w:p>
    <w:p w14:paraId="6FE6A3E0" w14:textId="77777777" w:rsidR="000A3D1F" w:rsidRDefault="000A3D1F" w:rsidP="000A3D1F">
      <w:pPr>
        <w:pStyle w:val="NoSpacing"/>
        <w:numPr>
          <w:ilvl w:val="0"/>
          <w:numId w:val="23"/>
        </w:numPr>
        <w:rPr>
          <w:b/>
        </w:rPr>
      </w:pPr>
      <w:r w:rsidRPr="00C635B6">
        <w:rPr>
          <w:b/>
        </w:rPr>
        <w:t>Other program restrictions and guidelines</w:t>
      </w:r>
    </w:p>
    <w:p w14:paraId="7E29BF35" w14:textId="77777777" w:rsidR="000A3D1F" w:rsidRDefault="000A3D1F" w:rsidP="000A3D1F">
      <w:pPr>
        <w:pStyle w:val="Reminders"/>
        <w:numPr>
          <w:ilvl w:val="1"/>
          <w:numId w:val="23"/>
        </w:numPr>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Pr>
          <w:rFonts w:asciiTheme="minorHAnsi" w:hAnsiTheme="minorHAnsi" w:cstheme="minorHAnsi"/>
          <w:i w:val="0"/>
          <w:color w:val="auto"/>
          <w:szCs w:val="22"/>
        </w:rPr>
        <w:t>e zones.</w:t>
      </w:r>
    </w:p>
    <w:p w14:paraId="229957C1" w14:textId="77777777" w:rsidR="000A3D1F" w:rsidRPr="00C635B6" w:rsidRDefault="000A3D1F" w:rsidP="000A3D1F">
      <w:pPr>
        <w:pStyle w:val="Reminders"/>
        <w:numPr>
          <w:ilvl w:val="1"/>
          <w:numId w:val="23"/>
        </w:numPr>
        <w:rPr>
          <w:rFonts w:asciiTheme="minorHAnsi" w:hAnsiTheme="minorHAnsi" w:cstheme="minorHAnsi"/>
          <w:i w:val="0"/>
          <w:color w:val="auto"/>
          <w:szCs w:val="22"/>
        </w:rPr>
      </w:pPr>
      <w:r>
        <w:rPr>
          <w:rFonts w:asciiTheme="minorHAnsi" w:hAnsiTheme="minorHAnsi" w:cstheme="minorHAnsi"/>
          <w:i w:val="0"/>
          <w:color w:val="auto"/>
          <w:szCs w:val="22"/>
        </w:rPr>
        <w:t>Measures in this workpaper only apply to customers who have natural gas service from a California IOU.</w:t>
      </w:r>
    </w:p>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525D38">
        <w:rPr>
          <w:noProof/>
        </w:rPr>
        <w:fldChar w:fldCharType="begin"/>
      </w:r>
      <w:r w:rsidR="00525D38">
        <w:rPr>
          <w:noProof/>
        </w:rPr>
        <w:instrText xml:space="preserve"> SEQ Table \* ARABIC </w:instrText>
      </w:r>
      <w:r w:rsidR="00525D38">
        <w:rPr>
          <w:noProof/>
        </w:rPr>
        <w:fldChar w:fldCharType="separate"/>
      </w:r>
      <w:r w:rsidR="00C6110B">
        <w:rPr>
          <w:noProof/>
        </w:rPr>
        <w:t>1</w:t>
      </w:r>
      <w:r w:rsidR="00525D38">
        <w:rPr>
          <w:noProof/>
        </w:rPr>
        <w:fldChar w:fldCharType="end"/>
      </w:r>
      <w:r>
        <w:t>: Measure Summary Table</w:t>
      </w:r>
    </w:p>
    <w:tbl>
      <w:tblPr>
        <w:tblStyle w:val="TableGrid"/>
        <w:tblW w:w="10980" w:type="dxa"/>
        <w:tblInd w:w="-815" w:type="dxa"/>
        <w:tblLayout w:type="fixed"/>
        <w:tblLook w:val="04A0" w:firstRow="1" w:lastRow="0" w:firstColumn="1" w:lastColumn="0" w:noHBand="0" w:noVBand="1"/>
      </w:tblPr>
      <w:tblGrid>
        <w:gridCol w:w="1901"/>
        <w:gridCol w:w="9079"/>
      </w:tblGrid>
      <w:tr w:rsidR="00DB71F1" w14:paraId="1DA3D667" w14:textId="77777777" w:rsidTr="00FF1E51">
        <w:trPr>
          <w:cantSplit/>
          <w:tblHeader/>
        </w:trPr>
        <w:tc>
          <w:tcPr>
            <w:tcW w:w="1901" w:type="dxa"/>
          </w:tcPr>
          <w:p w14:paraId="79B2CD38" w14:textId="77777777" w:rsidR="00DB71F1" w:rsidRPr="00D86243" w:rsidRDefault="00DB71F1" w:rsidP="00393EC8">
            <w:pPr>
              <w:jc w:val="center"/>
              <w:rPr>
                <w:b/>
              </w:rPr>
            </w:pPr>
            <w:r w:rsidRPr="00D86243">
              <w:rPr>
                <w:b/>
              </w:rPr>
              <w:t>Section</w:t>
            </w:r>
          </w:p>
        </w:tc>
        <w:tc>
          <w:tcPr>
            <w:tcW w:w="9079"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F1E51">
        <w:trPr>
          <w:cantSplit/>
        </w:trPr>
        <w:tc>
          <w:tcPr>
            <w:tcW w:w="1901" w:type="dxa"/>
            <w:vAlign w:val="center"/>
          </w:tcPr>
          <w:p w14:paraId="3164F533" w14:textId="50240EA8" w:rsidR="00DB71F1" w:rsidRPr="001D77F7" w:rsidRDefault="00B435A3" w:rsidP="00393EC8">
            <w:pPr>
              <w:rPr>
                <w:b/>
              </w:rPr>
            </w:pPr>
            <w:r w:rsidRPr="001D77F7">
              <w:rPr>
                <w:b/>
              </w:rPr>
              <w:t>1.1 Measure &amp; Baseline Data</w:t>
            </w:r>
          </w:p>
        </w:tc>
        <w:tc>
          <w:tcPr>
            <w:tcW w:w="9079" w:type="dxa"/>
          </w:tcPr>
          <w:p w14:paraId="76D36321" w14:textId="77777777" w:rsidR="0018637F" w:rsidRDefault="00A3243C" w:rsidP="00A3243C">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D00FF6">
              <w:rPr>
                <w:sz w:val="20"/>
                <w:szCs w:val="20"/>
              </w:rPr>
              <w:t>WPSCGCCWH180504A Revision 0</w:t>
            </w:r>
            <w:r w:rsidR="006D100F">
              <w:rPr>
                <w:sz w:val="20"/>
                <w:szCs w:val="20"/>
              </w:rPr>
              <w:t xml:space="preserve"> </w:t>
            </w:r>
            <w:r>
              <w:rPr>
                <w:sz w:val="20"/>
                <w:szCs w:val="20"/>
              </w:rPr>
              <w:t>Section</w:t>
            </w:r>
            <w:r w:rsidRPr="004D4511">
              <w:rPr>
                <w:rFonts w:cstheme="minorHAnsi"/>
                <w:sz w:val="20"/>
                <w:szCs w:val="20"/>
              </w:rPr>
              <w:t xml:space="preserve"> </w:t>
            </w:r>
            <w:r>
              <w:rPr>
                <w:rFonts w:cstheme="minorHAnsi"/>
                <w:sz w:val="20"/>
                <w:szCs w:val="20"/>
              </w:rPr>
              <w:t xml:space="preserve">1.1 </w:t>
            </w:r>
            <w:r w:rsidR="00951306">
              <w:rPr>
                <w:rFonts w:cstheme="minorHAnsi"/>
                <w:sz w:val="20"/>
                <w:szCs w:val="20"/>
              </w:rPr>
              <w:t>Measure Description &amp; Background</w:t>
            </w:r>
            <w:r>
              <w:rPr>
                <w:rFonts w:cstheme="minorHAnsi"/>
                <w:sz w:val="20"/>
                <w:szCs w:val="20"/>
              </w:rPr>
              <w:t>.</w:t>
            </w:r>
          </w:p>
          <w:p w14:paraId="4FE8D8C3" w14:textId="77777777" w:rsidR="006B3496" w:rsidRDefault="006B3496" w:rsidP="00A3243C">
            <w:pPr>
              <w:widowControl w:val="0"/>
              <w:overflowPunct w:val="0"/>
              <w:autoSpaceDE w:val="0"/>
              <w:autoSpaceDN w:val="0"/>
              <w:adjustRightInd w:val="0"/>
              <w:textAlignment w:val="baseline"/>
              <w:rPr>
                <w:rFonts w:cstheme="minorHAnsi"/>
                <w:sz w:val="20"/>
                <w:szCs w:val="20"/>
              </w:rPr>
            </w:pPr>
          </w:p>
          <w:p w14:paraId="58844D17" w14:textId="77777777" w:rsidR="00D85BDB" w:rsidRDefault="00D85BDB" w:rsidP="00D85BDB">
            <w:pPr>
              <w:pStyle w:val="Caption"/>
              <w:keepNext/>
            </w:pPr>
            <w:r w:rsidRPr="00A02915">
              <w:t>Base, Standard, and Measure Cases</w:t>
            </w:r>
          </w:p>
          <w:tbl>
            <w:tblPr>
              <w:tblStyle w:val="TableGrid1"/>
              <w:tblW w:w="5000" w:type="pct"/>
              <w:tblLayout w:type="fixed"/>
              <w:tblLook w:val="04A0" w:firstRow="1" w:lastRow="0" w:firstColumn="1" w:lastColumn="0" w:noHBand="0" w:noVBand="1"/>
            </w:tblPr>
            <w:tblGrid>
              <w:gridCol w:w="2659"/>
              <w:gridCol w:w="6194"/>
            </w:tblGrid>
            <w:tr w:rsidR="00D85BDB" w:rsidRPr="00800706" w14:paraId="5B5A81CE" w14:textId="77777777" w:rsidTr="00FA33A1">
              <w:trPr>
                <w:trHeight w:val="20"/>
              </w:trPr>
              <w:tc>
                <w:tcPr>
                  <w:tcW w:w="1502" w:type="pct"/>
                  <w:shd w:val="clear" w:color="auto" w:fill="D9D9D9" w:themeFill="background1" w:themeFillShade="D9"/>
                </w:tcPr>
                <w:p w14:paraId="668E4A36" w14:textId="77777777" w:rsidR="00D85BDB" w:rsidRPr="00800706" w:rsidRDefault="00D85BDB" w:rsidP="00D85BDB">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7BC1F82B" w14:textId="77777777" w:rsidR="00D85BDB" w:rsidRPr="00920905" w:rsidRDefault="00D85BDB" w:rsidP="00D85BDB">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D85BDB" w:rsidRPr="00800706" w14:paraId="76A23F06" w14:textId="77777777" w:rsidTr="00FA33A1">
              <w:trPr>
                <w:trHeight w:val="20"/>
              </w:trPr>
              <w:tc>
                <w:tcPr>
                  <w:tcW w:w="1502" w:type="pct"/>
                </w:tcPr>
                <w:p w14:paraId="3A32A32A" w14:textId="77777777" w:rsidR="00D85BDB" w:rsidRPr="00920905" w:rsidRDefault="00D85BDB" w:rsidP="00D85BDB">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3AA483E" w14:textId="77777777" w:rsidR="00D85BDB" w:rsidRPr="00872535" w:rsidRDefault="00D85BDB" w:rsidP="00D85BDB">
                  <w:r w:rsidRPr="00872535">
                    <w:t>Fixtures with a flow control valve for a reduce flow rate.</w:t>
                  </w:r>
                </w:p>
              </w:tc>
            </w:tr>
            <w:tr w:rsidR="00D85BDB" w:rsidRPr="00800706" w14:paraId="74989D52" w14:textId="77777777" w:rsidTr="00FA33A1">
              <w:trPr>
                <w:trHeight w:val="20"/>
              </w:trPr>
              <w:tc>
                <w:tcPr>
                  <w:tcW w:w="1502" w:type="pct"/>
                </w:tcPr>
                <w:p w14:paraId="4958B47A" w14:textId="77777777" w:rsidR="00D85BDB" w:rsidRPr="00920905" w:rsidRDefault="00D85BDB" w:rsidP="00D85BD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B108A5A" w14:textId="77777777" w:rsidR="00D85BDB" w:rsidRPr="00872535" w:rsidRDefault="00D85BDB" w:rsidP="00D85BDB">
                  <w:pPr>
                    <w:rPr>
                      <w:i/>
                    </w:rPr>
                  </w:pPr>
                  <w:r w:rsidRPr="00872535">
                    <w:t xml:space="preserve">Fixture without any type of flow rate reducer. </w:t>
                  </w:r>
                </w:p>
              </w:tc>
            </w:tr>
            <w:tr w:rsidR="00D85BDB" w:rsidRPr="00800706" w14:paraId="640D06A5" w14:textId="77777777" w:rsidTr="00FA33A1">
              <w:trPr>
                <w:trHeight w:val="20"/>
              </w:trPr>
              <w:tc>
                <w:tcPr>
                  <w:tcW w:w="1502" w:type="pct"/>
                </w:tcPr>
                <w:p w14:paraId="1DD85218" w14:textId="77777777" w:rsidR="00D85BDB" w:rsidRPr="00800706" w:rsidRDefault="00D85BDB" w:rsidP="00D85BD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0ED22D93" w14:textId="77777777" w:rsidR="00D85BDB" w:rsidRPr="00543664" w:rsidRDefault="00D85BDB" w:rsidP="00D85BDB">
                  <w:pPr>
                    <w:pStyle w:val="ListParagraph"/>
                    <w:numPr>
                      <w:ilvl w:val="0"/>
                      <w:numId w:val="31"/>
                    </w:numPr>
                    <w:rPr>
                      <w:szCs w:val="20"/>
                    </w:rPr>
                  </w:pPr>
                  <w:r w:rsidRPr="00543664">
                    <w:rPr>
                      <w:szCs w:val="20"/>
                    </w:rPr>
                    <w:t>Showerhead: 1.8 GPM at 80 PSI</w:t>
                  </w:r>
                </w:p>
                <w:p w14:paraId="302B257D" w14:textId="77777777" w:rsidR="00D85BDB" w:rsidRPr="00543664" w:rsidRDefault="00D85BDB" w:rsidP="00D85BDB">
                  <w:pPr>
                    <w:pStyle w:val="ListParagraph"/>
                    <w:numPr>
                      <w:ilvl w:val="0"/>
                      <w:numId w:val="31"/>
                    </w:numPr>
                    <w:rPr>
                      <w:szCs w:val="20"/>
                    </w:rPr>
                  </w:pPr>
                  <w:r w:rsidRPr="00543664">
                    <w:rPr>
                      <w:szCs w:val="20"/>
                    </w:rPr>
                    <w:t>Lavatory Faucet: 1.2 GPM at 60 PSI</w:t>
                  </w:r>
                </w:p>
                <w:p w14:paraId="0249F206" w14:textId="77777777" w:rsidR="00D85BDB" w:rsidRDefault="00D85BDB" w:rsidP="00D85BDB">
                  <w:pPr>
                    <w:pStyle w:val="ListParagraph"/>
                    <w:numPr>
                      <w:ilvl w:val="0"/>
                      <w:numId w:val="31"/>
                    </w:numPr>
                    <w:rPr>
                      <w:szCs w:val="20"/>
                    </w:rPr>
                  </w:pPr>
                  <w:r w:rsidRPr="00543664">
                    <w:rPr>
                      <w:szCs w:val="20"/>
                    </w:rPr>
                    <w:t>Kitchen: 2.2 GPM at 60 PSI</w:t>
                  </w:r>
                </w:p>
                <w:p w14:paraId="69D679D6" w14:textId="77777777" w:rsidR="00D85BDB" w:rsidRPr="00543664" w:rsidRDefault="00D85BDB" w:rsidP="00D85BDB">
                  <w:pPr>
                    <w:pStyle w:val="ListParagraph"/>
                    <w:numPr>
                      <w:ilvl w:val="0"/>
                      <w:numId w:val="31"/>
                    </w:numPr>
                    <w:rPr>
                      <w:szCs w:val="20"/>
                    </w:rPr>
                  </w:pPr>
                  <w:r>
                    <w:rPr>
                      <w:szCs w:val="20"/>
                    </w:rPr>
                    <w:t>Public lavatory faucet: 0.5 GPM at 60 PSI</w:t>
                  </w:r>
                </w:p>
              </w:tc>
            </w:tr>
            <w:tr w:rsidR="00D85BDB" w:rsidRPr="00800706" w14:paraId="3A9129F3" w14:textId="77777777" w:rsidTr="00FA33A1">
              <w:trPr>
                <w:trHeight w:val="20"/>
              </w:trPr>
              <w:tc>
                <w:tcPr>
                  <w:tcW w:w="1502" w:type="pct"/>
                </w:tcPr>
                <w:p w14:paraId="62C4DB1B" w14:textId="77777777" w:rsidR="00D85BDB" w:rsidRPr="00920905" w:rsidRDefault="00D85BDB" w:rsidP="00D85BD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35167B9E" w14:textId="77777777" w:rsidR="00D85BDB" w:rsidRPr="00872535" w:rsidRDefault="00D85BDB" w:rsidP="00D85BDB">
                  <w:pPr>
                    <w:rPr>
                      <w:i/>
                    </w:rPr>
                  </w:pPr>
                  <w:r w:rsidRPr="00872535">
                    <w:t>N/A</w:t>
                  </w:r>
                </w:p>
              </w:tc>
            </w:tr>
          </w:tbl>
          <w:p w14:paraId="29E5308D" w14:textId="77777777" w:rsidR="006B3496" w:rsidRDefault="006B3496" w:rsidP="00A3243C">
            <w:pPr>
              <w:widowControl w:val="0"/>
              <w:overflowPunct w:val="0"/>
              <w:autoSpaceDE w:val="0"/>
              <w:autoSpaceDN w:val="0"/>
              <w:adjustRightInd w:val="0"/>
              <w:textAlignment w:val="baseline"/>
              <w:rPr>
                <w:rFonts w:cstheme="minorHAnsi"/>
                <w:sz w:val="20"/>
                <w:szCs w:val="20"/>
              </w:rPr>
            </w:pPr>
          </w:p>
          <w:p w14:paraId="13577878" w14:textId="372F3A87" w:rsidR="00D85BDB" w:rsidRPr="00A3243C" w:rsidRDefault="00D85BDB" w:rsidP="00A3243C">
            <w:pPr>
              <w:widowControl w:val="0"/>
              <w:overflowPunct w:val="0"/>
              <w:autoSpaceDE w:val="0"/>
              <w:autoSpaceDN w:val="0"/>
              <w:adjustRightInd w:val="0"/>
              <w:textAlignment w:val="baseline"/>
              <w:rPr>
                <w:rFonts w:cstheme="minorHAnsi"/>
                <w:sz w:val="20"/>
                <w:szCs w:val="20"/>
              </w:rPr>
            </w:pPr>
          </w:p>
        </w:tc>
      </w:tr>
      <w:tr w:rsidR="00DB71F1" w14:paraId="5C999C77" w14:textId="77777777" w:rsidTr="00FF1E51">
        <w:trPr>
          <w:cantSplit/>
        </w:trPr>
        <w:tc>
          <w:tcPr>
            <w:tcW w:w="1901" w:type="dxa"/>
            <w:vAlign w:val="center"/>
          </w:tcPr>
          <w:p w14:paraId="1AD0206E" w14:textId="77777777" w:rsidR="00DB71F1" w:rsidRPr="001D77F7" w:rsidRDefault="00DB71F1" w:rsidP="00393EC8">
            <w:pPr>
              <w:rPr>
                <w:b/>
              </w:rPr>
            </w:pPr>
            <w:r w:rsidRPr="001D77F7">
              <w:rPr>
                <w:b/>
              </w:rPr>
              <w:t xml:space="preserve">1.2 Technical Description </w:t>
            </w:r>
          </w:p>
        </w:tc>
        <w:tc>
          <w:tcPr>
            <w:tcW w:w="9079" w:type="dxa"/>
          </w:tcPr>
          <w:p w14:paraId="6C197DB9" w14:textId="2F54E198" w:rsidR="00A3243C" w:rsidRPr="000E65D6" w:rsidRDefault="00A3243C" w:rsidP="00A3243C">
            <w:pPr>
              <w:jc w:val="both"/>
              <w:rPr>
                <w:rFonts w:cs="Arial"/>
                <w:sz w:val="20"/>
                <w:szCs w:val="20"/>
              </w:rPr>
            </w:pPr>
            <w:r>
              <w:rPr>
                <w:rFonts w:cs="Arial"/>
                <w:sz w:val="20"/>
                <w:szCs w:val="20"/>
              </w:rPr>
              <w:t xml:space="preserve">Please reference </w:t>
            </w:r>
            <w:r w:rsidR="00D00FF6">
              <w:rPr>
                <w:sz w:val="20"/>
                <w:szCs w:val="20"/>
              </w:rPr>
              <w:t>WPSCGCCWH180504A Revision 0</w:t>
            </w:r>
            <w:r>
              <w:rPr>
                <w:sz w:val="20"/>
                <w:szCs w:val="20"/>
              </w:rPr>
              <w:t xml:space="preserve"> Section 1.2 Technical Description</w:t>
            </w:r>
          </w:p>
          <w:p w14:paraId="06E02A82" w14:textId="77777777" w:rsidR="00DB71F1" w:rsidRDefault="00DB71F1" w:rsidP="00D4142C">
            <w:pPr>
              <w:rPr>
                <w:rFonts w:cs="Arial"/>
                <w:sz w:val="20"/>
                <w:szCs w:val="20"/>
              </w:rPr>
            </w:pPr>
          </w:p>
          <w:p w14:paraId="2CD0AD6B" w14:textId="33C911C1" w:rsidR="006B3496" w:rsidRPr="00D4142C" w:rsidRDefault="006B3496" w:rsidP="00D4142C">
            <w:pPr>
              <w:rPr>
                <w:rFonts w:cs="Arial"/>
                <w:sz w:val="20"/>
                <w:szCs w:val="20"/>
              </w:rPr>
            </w:pPr>
            <w:r w:rsidRPr="006B0511">
              <w:rPr>
                <w:rFonts w:cstheme="minorHAnsi"/>
              </w:rPr>
              <w:t xml:space="preserve">This </w:t>
            </w:r>
            <w:r>
              <w:rPr>
                <w:rFonts w:cstheme="minorHAnsi"/>
              </w:rPr>
              <w:t>w</w:t>
            </w:r>
            <w:r w:rsidRPr="006B0511">
              <w:rPr>
                <w:rFonts w:cstheme="minorHAnsi"/>
              </w:rPr>
              <w:t>orkpaper measure</w:t>
            </w:r>
            <w:r>
              <w:rPr>
                <w:rFonts w:cstheme="minorHAnsi"/>
              </w:rPr>
              <w:t>s</w:t>
            </w:r>
            <w:r w:rsidRPr="006B0511">
              <w:rPr>
                <w:rFonts w:cstheme="minorHAnsi"/>
              </w:rPr>
              <w:t xml:space="preserve"> allow for energy to be saved from the installation of Flow Control Valves</w:t>
            </w:r>
            <w:r>
              <w:rPr>
                <w:rFonts w:cstheme="minorHAnsi"/>
              </w:rPr>
              <w:t xml:space="preserve"> </w:t>
            </w:r>
            <w:r w:rsidRPr="006B0511">
              <w:rPr>
                <w:rFonts w:cstheme="minorHAnsi"/>
              </w:rPr>
              <w:t>(FCV) at</w:t>
            </w:r>
            <w:r>
              <w:rPr>
                <w:rFonts w:cstheme="minorHAnsi"/>
              </w:rPr>
              <w:t xml:space="preserve"> faucets or showerheads. These control valves act</w:t>
            </w:r>
            <w:r w:rsidRPr="006B0511">
              <w:rPr>
                <w:rFonts w:cstheme="minorHAnsi"/>
              </w:rPr>
              <w:t xml:space="preserve"> as</w:t>
            </w:r>
            <w:r>
              <w:rPr>
                <w:rFonts w:cstheme="minorHAnsi"/>
              </w:rPr>
              <w:t xml:space="preserve"> a converging-diverging section with a</w:t>
            </w:r>
            <w:r w:rsidRPr="006B0511">
              <w:rPr>
                <w:rFonts w:cstheme="minorHAnsi"/>
              </w:rPr>
              <w:t xml:space="preserve"> throat in which the </w:t>
            </w:r>
            <w:r>
              <w:rPr>
                <w:rFonts w:cstheme="minorHAnsi"/>
              </w:rPr>
              <w:t xml:space="preserve">flow </w:t>
            </w:r>
            <w:r w:rsidRPr="006B0511">
              <w:rPr>
                <w:rFonts w:cstheme="minorHAnsi"/>
              </w:rPr>
              <w:t>area is reduced to impede full flow</w:t>
            </w:r>
            <w:r>
              <w:rPr>
                <w:rFonts w:cstheme="minorHAnsi"/>
              </w:rPr>
              <w:t xml:space="preserve"> while retaining pressure</w:t>
            </w:r>
            <w:r w:rsidRPr="006B0511">
              <w:rPr>
                <w:rFonts w:cstheme="minorHAnsi"/>
              </w:rPr>
              <w:t>. The reduction in flow rate offsets the amount of hot water used, in effect the energy demand by the water heating source is reduced.</w:t>
            </w:r>
          </w:p>
        </w:tc>
      </w:tr>
      <w:tr w:rsidR="005F021A" w:rsidRPr="008775D7" w14:paraId="7E0F1030" w14:textId="77777777" w:rsidTr="00FF1E51">
        <w:trPr>
          <w:cantSplit/>
        </w:trPr>
        <w:tc>
          <w:tcPr>
            <w:tcW w:w="1901" w:type="dxa"/>
          </w:tcPr>
          <w:p w14:paraId="0C145CB9" w14:textId="77777777" w:rsidR="005F021A" w:rsidRPr="00241A1F" w:rsidRDefault="005F021A" w:rsidP="005F021A">
            <w:pPr>
              <w:jc w:val="right"/>
              <w:rPr>
                <w:sz w:val="20"/>
                <w:szCs w:val="20"/>
              </w:rPr>
            </w:pPr>
            <w:r w:rsidRPr="00241A1F">
              <w:rPr>
                <w:sz w:val="20"/>
                <w:szCs w:val="20"/>
              </w:rPr>
              <w:t>Measures</w:t>
            </w:r>
          </w:p>
        </w:tc>
        <w:tc>
          <w:tcPr>
            <w:tcW w:w="9079" w:type="dxa"/>
          </w:tcPr>
          <w:p w14:paraId="3EC30EF5" w14:textId="77777777" w:rsidR="004D4511" w:rsidRPr="0018637F" w:rsidRDefault="004D4511" w:rsidP="004D4511">
            <w:pPr>
              <w:pStyle w:val="Caption"/>
              <w:rPr>
                <w:rFonts w:cstheme="minorHAnsi"/>
                <w:sz w:val="20"/>
                <w:szCs w:val="20"/>
              </w:rPr>
            </w:pPr>
            <w:r w:rsidRPr="0018637F">
              <w:rPr>
                <w:rFonts w:cstheme="minorHAnsi"/>
                <w:sz w:val="20"/>
                <w:szCs w:val="20"/>
              </w:rPr>
              <w:t>Measures and Codes</w:t>
            </w:r>
          </w:p>
          <w:tbl>
            <w:tblPr>
              <w:tblStyle w:val="TableGrid1"/>
              <w:tblW w:w="4847" w:type="pct"/>
              <w:tblLayout w:type="fixed"/>
              <w:tblLook w:val="04A0" w:firstRow="1" w:lastRow="0" w:firstColumn="1" w:lastColumn="0" w:noHBand="0" w:noVBand="1"/>
            </w:tblPr>
            <w:tblGrid>
              <w:gridCol w:w="954"/>
              <w:gridCol w:w="978"/>
              <w:gridCol w:w="2539"/>
              <w:gridCol w:w="4111"/>
            </w:tblGrid>
            <w:tr w:rsidR="00CC1060" w14:paraId="79963261" w14:textId="77777777" w:rsidTr="00063E35">
              <w:tc>
                <w:tcPr>
                  <w:tcW w:w="260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2425A1" w14:textId="77777777" w:rsidR="00CC1060" w:rsidRDefault="00CC1060" w:rsidP="00CC1060">
                  <w:pPr>
                    <w:rPr>
                      <w:rFonts w:asciiTheme="minorHAnsi" w:hAnsiTheme="minorHAnsi" w:cstheme="minorHAnsi"/>
                      <w:b/>
                    </w:rPr>
                  </w:pPr>
                  <w:r>
                    <w:rPr>
                      <w:rFonts w:cstheme="minorHAnsi"/>
                      <w:b/>
                    </w:rPr>
                    <w:t>Measure Codes</w:t>
                  </w:r>
                </w:p>
              </w:tc>
              <w:tc>
                <w:tcPr>
                  <w:tcW w:w="239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C4524E" w14:textId="77777777" w:rsidR="00CC1060" w:rsidRDefault="00CC1060" w:rsidP="00CC1060">
                  <w:pPr>
                    <w:rPr>
                      <w:rFonts w:cstheme="minorHAnsi"/>
                      <w:b/>
                    </w:rPr>
                  </w:pPr>
                  <w:r>
                    <w:rPr>
                      <w:rFonts w:cstheme="minorHAnsi"/>
                      <w:b/>
                    </w:rPr>
                    <w:t>Measure Name</w:t>
                  </w:r>
                </w:p>
              </w:tc>
            </w:tr>
            <w:tr w:rsidR="00063E35" w14:paraId="78592259" w14:textId="77777777" w:rsidTr="00063E35">
              <w:tc>
                <w:tcPr>
                  <w:tcW w:w="55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17AE59" w14:textId="77777777" w:rsidR="00063E35" w:rsidRDefault="00063E35" w:rsidP="00CC1060">
                  <w:pPr>
                    <w:rPr>
                      <w:rFonts w:cstheme="minorHAnsi"/>
                    </w:rPr>
                  </w:pPr>
                  <w:r>
                    <w:rPr>
                      <w:rFonts w:cstheme="minorHAnsi"/>
                    </w:rPr>
                    <w:t>SCG</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885098" w14:textId="77777777" w:rsidR="00063E35" w:rsidRDefault="00063E35" w:rsidP="00CC1060">
                  <w:pPr>
                    <w:rPr>
                      <w:rFonts w:cstheme="minorHAnsi"/>
                    </w:rPr>
                  </w:pPr>
                  <w:r>
                    <w:rPr>
                      <w:rFonts w:cstheme="minorHAnsi"/>
                    </w:rPr>
                    <w:t>SDG&amp;E</w:t>
                  </w:r>
                </w:p>
              </w:tc>
              <w:tc>
                <w:tcPr>
                  <w:tcW w:w="14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02E570" w14:textId="77777777" w:rsidR="00063E35" w:rsidRDefault="00063E35" w:rsidP="00CC1060">
                  <w:pPr>
                    <w:rPr>
                      <w:rFonts w:cstheme="minorHAnsi"/>
                    </w:rPr>
                  </w:pPr>
                  <w:r>
                    <w:rPr>
                      <w:rFonts w:cstheme="minorHAnsi"/>
                    </w:rPr>
                    <w:t xml:space="preserve">SDGE Workpaper </w:t>
                  </w:r>
                  <w:proofErr w:type="spellStart"/>
                  <w:r>
                    <w:rPr>
                      <w:rFonts w:cstheme="minorHAnsi"/>
                    </w:rPr>
                    <w:t>Msr</w:t>
                  </w:r>
                  <w:proofErr w:type="spellEnd"/>
                  <w:r>
                    <w:rPr>
                      <w:rFonts w:cstheme="minorHAnsi"/>
                    </w:rPr>
                    <w:t xml:space="preserve"> IDs</w:t>
                  </w:r>
                </w:p>
                <w:p w14:paraId="74F820E8" w14:textId="38199AFF" w:rsidR="00063E35" w:rsidRDefault="00063E35" w:rsidP="00CC1060">
                  <w:pPr>
                    <w:rPr>
                      <w:rFonts w:cstheme="minorHAnsi"/>
                    </w:rPr>
                  </w:pPr>
                  <w:r>
                    <w:rPr>
                      <w:rFonts w:cstheme="minorHAnsi"/>
                    </w:rPr>
                    <w:t>(WPSDGENRWH1209-Rev00-MsrXXX)</w:t>
                  </w:r>
                </w:p>
              </w:tc>
              <w:tc>
                <w:tcPr>
                  <w:tcW w:w="2395" w:type="pct"/>
                  <w:vMerge/>
                  <w:tcBorders>
                    <w:top w:val="single" w:sz="4" w:space="0" w:color="auto"/>
                    <w:left w:val="single" w:sz="4" w:space="0" w:color="auto"/>
                    <w:bottom w:val="single" w:sz="4" w:space="0" w:color="auto"/>
                    <w:right w:val="single" w:sz="4" w:space="0" w:color="auto"/>
                  </w:tcBorders>
                  <w:vAlign w:val="center"/>
                  <w:hideMark/>
                </w:tcPr>
                <w:p w14:paraId="6E13600F" w14:textId="77777777" w:rsidR="00063E35" w:rsidRDefault="00063E35" w:rsidP="00CC1060">
                  <w:pPr>
                    <w:rPr>
                      <w:rFonts w:cstheme="minorHAnsi"/>
                      <w:b/>
                    </w:rPr>
                  </w:pPr>
                </w:p>
              </w:tc>
            </w:tr>
            <w:tr w:rsidR="00063E35" w14:paraId="7D6667AF"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0E8796C3" w14:textId="07FF4612" w:rsidR="00063E35" w:rsidRDefault="00063E35" w:rsidP="00CC1060">
                  <w:pPr>
                    <w:rPr>
                      <w:rFonts w:cstheme="minorHAnsi"/>
                      <w:color w:val="FF0000"/>
                    </w:rPr>
                  </w:pPr>
                  <w:r w:rsidRPr="00D27B1F">
                    <w:rPr>
                      <w:rFonts w:cstheme="minorHAnsi"/>
                      <w:color w:val="000000" w:themeColor="text1"/>
                    </w:rPr>
                    <w:t>540747</w:t>
                  </w:r>
                </w:p>
              </w:tc>
              <w:tc>
                <w:tcPr>
                  <w:tcW w:w="570" w:type="pct"/>
                  <w:tcBorders>
                    <w:top w:val="single" w:sz="4" w:space="0" w:color="auto"/>
                    <w:left w:val="single" w:sz="4" w:space="0" w:color="auto"/>
                    <w:bottom w:val="single" w:sz="4" w:space="0" w:color="auto"/>
                    <w:right w:val="single" w:sz="4" w:space="0" w:color="auto"/>
                  </w:tcBorders>
                </w:tcPr>
                <w:p w14:paraId="527EFE56" w14:textId="390F3330" w:rsidR="00063E35" w:rsidRPr="002D1FF2" w:rsidRDefault="00063E35" w:rsidP="00CC1060">
                  <w:pPr>
                    <w:rPr>
                      <w:rFonts w:cstheme="minorHAnsi"/>
                      <w:color w:val="000000" w:themeColor="text1"/>
                    </w:rPr>
                  </w:pPr>
                  <w:r w:rsidRPr="002D1FF2">
                    <w:rPr>
                      <w:rFonts w:cstheme="minorHAnsi"/>
                      <w:color w:val="000000" w:themeColor="text1"/>
                    </w:rPr>
                    <w:t>467142</w:t>
                  </w:r>
                </w:p>
                <w:p w14:paraId="02AF7602" w14:textId="734FABCE" w:rsidR="00063E35" w:rsidRDefault="00063E35" w:rsidP="00CC1060">
                  <w:pPr>
                    <w:rPr>
                      <w:rFonts w:cstheme="minorHAnsi"/>
                      <w:color w:val="FF0000"/>
                    </w:rPr>
                  </w:pPr>
                  <w:r w:rsidRPr="002D1FF2">
                    <w:rPr>
                      <w:rFonts w:cstheme="minorHAnsi"/>
                      <w:color w:val="000000" w:themeColor="text1"/>
                    </w:rPr>
                    <w:t>467143</w:t>
                  </w:r>
                </w:p>
              </w:tc>
              <w:tc>
                <w:tcPr>
                  <w:tcW w:w="1479" w:type="pct"/>
                  <w:tcBorders>
                    <w:top w:val="single" w:sz="4" w:space="0" w:color="auto"/>
                    <w:left w:val="single" w:sz="4" w:space="0" w:color="auto"/>
                    <w:bottom w:val="single" w:sz="4" w:space="0" w:color="auto"/>
                    <w:right w:val="single" w:sz="4" w:space="0" w:color="auto"/>
                  </w:tcBorders>
                </w:tcPr>
                <w:p w14:paraId="0D645A6C" w14:textId="4B83D793" w:rsidR="00063E35" w:rsidRPr="00063E35" w:rsidRDefault="00063E35" w:rsidP="00063E35">
                  <w:pPr>
                    <w:jc w:val="center"/>
                    <w:rPr>
                      <w:rFonts w:cstheme="minorHAnsi"/>
                      <w:color w:val="000000" w:themeColor="text1"/>
                    </w:rPr>
                  </w:pPr>
                  <w:r>
                    <w:rPr>
                      <w:rFonts w:cstheme="minorHAnsi"/>
                      <w:color w:val="000000" w:themeColor="text1"/>
                    </w:rPr>
                    <w:t>Msr001</w:t>
                  </w:r>
                </w:p>
              </w:tc>
              <w:tc>
                <w:tcPr>
                  <w:tcW w:w="2395" w:type="pct"/>
                  <w:tcBorders>
                    <w:top w:val="single" w:sz="4" w:space="0" w:color="auto"/>
                    <w:left w:val="single" w:sz="4" w:space="0" w:color="auto"/>
                    <w:bottom w:val="single" w:sz="4" w:space="0" w:color="auto"/>
                    <w:right w:val="single" w:sz="4" w:space="0" w:color="auto"/>
                  </w:tcBorders>
                  <w:hideMark/>
                </w:tcPr>
                <w:p w14:paraId="5DED8DD1" w14:textId="77777777" w:rsidR="00063E35" w:rsidRDefault="00063E35" w:rsidP="00CC1060">
                  <w:pPr>
                    <w:rPr>
                      <w:color w:val="FF0000"/>
                      <w:szCs w:val="24"/>
                    </w:rPr>
                  </w:pPr>
                  <w:r>
                    <w:t xml:space="preserve">Lavatory Faucet FCV: 1.00 GPM </w:t>
                  </w:r>
                </w:p>
              </w:tc>
            </w:tr>
            <w:tr w:rsidR="00063E35" w14:paraId="6D503CED"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7E29FC18" w14:textId="77777777" w:rsidR="00063E35" w:rsidRDefault="00063E35" w:rsidP="00CC1060">
                  <w:pPr>
                    <w:rPr>
                      <w:rFonts w:cstheme="minorHAnsi"/>
                    </w:rPr>
                  </w:pPr>
                  <w:r w:rsidRPr="00D27B1F">
                    <w:rPr>
                      <w:rFonts w:cstheme="minorHAnsi"/>
                    </w:rPr>
                    <w:t>540740</w:t>
                  </w:r>
                </w:p>
                <w:p w14:paraId="5CA49FD4" w14:textId="3BC74A95" w:rsidR="00063E35" w:rsidRDefault="00063E35" w:rsidP="00CC1060">
                  <w:pPr>
                    <w:rPr>
                      <w:rFonts w:cstheme="minorHAnsi"/>
                    </w:rPr>
                  </w:pPr>
                  <w:r w:rsidRPr="00D27B1F">
                    <w:rPr>
                      <w:rFonts w:cstheme="minorHAnsi"/>
                    </w:rPr>
                    <w:t>540741</w:t>
                  </w:r>
                </w:p>
              </w:tc>
              <w:tc>
                <w:tcPr>
                  <w:tcW w:w="570" w:type="pct"/>
                  <w:tcBorders>
                    <w:top w:val="single" w:sz="4" w:space="0" w:color="auto"/>
                    <w:left w:val="single" w:sz="4" w:space="0" w:color="auto"/>
                    <w:bottom w:val="single" w:sz="4" w:space="0" w:color="auto"/>
                    <w:right w:val="single" w:sz="4" w:space="0" w:color="auto"/>
                  </w:tcBorders>
                </w:tcPr>
                <w:p w14:paraId="5823AA3D" w14:textId="77777777" w:rsidR="00063E35" w:rsidRDefault="00063E35" w:rsidP="00020336">
                  <w:pPr>
                    <w:rPr>
                      <w:rFonts w:cstheme="minorHAnsi"/>
                      <w:color w:val="000000" w:themeColor="text1"/>
                    </w:rPr>
                  </w:pPr>
                  <w:r w:rsidRPr="002B14BB">
                    <w:rPr>
                      <w:rFonts w:cstheme="minorHAnsi"/>
                      <w:color w:val="000000" w:themeColor="text1"/>
                    </w:rPr>
                    <w:t>467134</w:t>
                  </w:r>
                </w:p>
                <w:p w14:paraId="32948094" w14:textId="6B46BE93" w:rsidR="00063E35" w:rsidRDefault="00063E35" w:rsidP="00020336">
                  <w:pPr>
                    <w:rPr>
                      <w:rFonts w:cstheme="minorHAnsi"/>
                    </w:rPr>
                  </w:pPr>
                  <w:r w:rsidRPr="00296AC9">
                    <w:rPr>
                      <w:rFonts w:cstheme="minorHAnsi"/>
                      <w:color w:val="000000" w:themeColor="text1"/>
                    </w:rPr>
                    <w:t>467135</w:t>
                  </w:r>
                </w:p>
              </w:tc>
              <w:tc>
                <w:tcPr>
                  <w:tcW w:w="1479" w:type="pct"/>
                  <w:tcBorders>
                    <w:top w:val="single" w:sz="4" w:space="0" w:color="auto"/>
                    <w:left w:val="single" w:sz="4" w:space="0" w:color="auto"/>
                    <w:bottom w:val="single" w:sz="4" w:space="0" w:color="auto"/>
                    <w:right w:val="single" w:sz="4" w:space="0" w:color="auto"/>
                  </w:tcBorders>
                </w:tcPr>
                <w:p w14:paraId="7EBEA7FE" w14:textId="10E89BFD" w:rsidR="00063E35" w:rsidRDefault="00063E35" w:rsidP="00063E35">
                  <w:pPr>
                    <w:jc w:val="center"/>
                    <w:rPr>
                      <w:rFonts w:cstheme="minorHAnsi"/>
                    </w:rPr>
                  </w:pPr>
                  <w:r>
                    <w:rPr>
                      <w:rFonts w:cstheme="minorHAnsi"/>
                      <w:color w:val="000000" w:themeColor="text1"/>
                    </w:rPr>
                    <w:t>Msr002</w:t>
                  </w:r>
                </w:p>
              </w:tc>
              <w:tc>
                <w:tcPr>
                  <w:tcW w:w="2395" w:type="pct"/>
                  <w:tcBorders>
                    <w:top w:val="single" w:sz="4" w:space="0" w:color="auto"/>
                    <w:left w:val="single" w:sz="4" w:space="0" w:color="auto"/>
                    <w:bottom w:val="single" w:sz="4" w:space="0" w:color="auto"/>
                    <w:right w:val="single" w:sz="4" w:space="0" w:color="auto"/>
                  </w:tcBorders>
                  <w:hideMark/>
                </w:tcPr>
                <w:p w14:paraId="733FB002" w14:textId="77777777" w:rsidR="00063E35" w:rsidRDefault="00063E35" w:rsidP="00CC1060">
                  <w:pPr>
                    <w:rPr>
                      <w:szCs w:val="24"/>
                    </w:rPr>
                  </w:pPr>
                  <w:r>
                    <w:t xml:space="preserve">Res showerhead FCV: 1.00 GPM </w:t>
                  </w:r>
                </w:p>
              </w:tc>
            </w:tr>
            <w:tr w:rsidR="00063E35" w14:paraId="2C49EE23"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3A3E4835" w14:textId="415EF21D" w:rsidR="00063E35" w:rsidRDefault="00063E35" w:rsidP="00CC1060">
                  <w:pPr>
                    <w:rPr>
                      <w:rFonts w:cstheme="minorHAnsi"/>
                    </w:rPr>
                  </w:pPr>
                  <w:r w:rsidRPr="00D27B1F">
                    <w:rPr>
                      <w:rFonts w:cstheme="minorHAnsi"/>
                    </w:rPr>
                    <w:t>540749</w:t>
                  </w:r>
                </w:p>
              </w:tc>
              <w:tc>
                <w:tcPr>
                  <w:tcW w:w="570" w:type="pct"/>
                  <w:tcBorders>
                    <w:top w:val="single" w:sz="4" w:space="0" w:color="auto"/>
                    <w:left w:val="single" w:sz="4" w:space="0" w:color="auto"/>
                    <w:bottom w:val="single" w:sz="4" w:space="0" w:color="auto"/>
                    <w:right w:val="single" w:sz="4" w:space="0" w:color="auto"/>
                  </w:tcBorders>
                </w:tcPr>
                <w:p w14:paraId="38D62C75" w14:textId="3A58A84E" w:rsidR="00063E35" w:rsidRDefault="00063E35" w:rsidP="00DB0604">
                  <w:pPr>
                    <w:rPr>
                      <w:rFonts w:cstheme="minorHAnsi"/>
                    </w:rPr>
                  </w:pPr>
                  <w:r w:rsidRPr="006E306B">
                    <w:rPr>
                      <w:rFonts w:cstheme="minorHAnsi"/>
                    </w:rPr>
                    <w:t>46714</w:t>
                  </w:r>
                  <w:r>
                    <w:rPr>
                      <w:rFonts w:cstheme="minorHAnsi"/>
                    </w:rPr>
                    <w:t>6</w:t>
                  </w:r>
                </w:p>
                <w:p w14:paraId="0264F9B1" w14:textId="326E41E9" w:rsidR="00063E35" w:rsidRDefault="00063E35" w:rsidP="00DB0604">
                  <w:pPr>
                    <w:rPr>
                      <w:rFonts w:cstheme="minorHAnsi"/>
                    </w:rPr>
                  </w:pPr>
                  <w:r w:rsidRPr="006E306B">
                    <w:rPr>
                      <w:rFonts w:cstheme="minorHAnsi"/>
                    </w:rPr>
                    <w:t>46714</w:t>
                  </w:r>
                  <w:r>
                    <w:rPr>
                      <w:rFonts w:cstheme="minorHAnsi"/>
                    </w:rPr>
                    <w:t>7</w:t>
                  </w:r>
                </w:p>
              </w:tc>
              <w:tc>
                <w:tcPr>
                  <w:tcW w:w="1479" w:type="pct"/>
                  <w:tcBorders>
                    <w:top w:val="single" w:sz="4" w:space="0" w:color="auto"/>
                    <w:left w:val="single" w:sz="4" w:space="0" w:color="auto"/>
                    <w:bottom w:val="single" w:sz="4" w:space="0" w:color="auto"/>
                    <w:right w:val="single" w:sz="4" w:space="0" w:color="auto"/>
                  </w:tcBorders>
                </w:tcPr>
                <w:p w14:paraId="7DAC8918" w14:textId="5D103E82" w:rsidR="00063E35" w:rsidRDefault="00063E35" w:rsidP="00063E35">
                  <w:pPr>
                    <w:jc w:val="center"/>
                    <w:rPr>
                      <w:rFonts w:cstheme="minorHAnsi"/>
                    </w:rPr>
                  </w:pPr>
                  <w:r>
                    <w:rPr>
                      <w:rFonts w:cstheme="minorHAnsi"/>
                      <w:color w:val="000000" w:themeColor="text1"/>
                    </w:rPr>
                    <w:t>Msr003</w:t>
                  </w:r>
                </w:p>
              </w:tc>
              <w:tc>
                <w:tcPr>
                  <w:tcW w:w="2395" w:type="pct"/>
                  <w:tcBorders>
                    <w:top w:val="single" w:sz="4" w:space="0" w:color="auto"/>
                    <w:left w:val="single" w:sz="4" w:space="0" w:color="auto"/>
                    <w:bottom w:val="single" w:sz="4" w:space="0" w:color="auto"/>
                    <w:right w:val="single" w:sz="4" w:space="0" w:color="auto"/>
                  </w:tcBorders>
                  <w:hideMark/>
                </w:tcPr>
                <w:p w14:paraId="5F1463EA" w14:textId="77777777" w:rsidR="00063E35" w:rsidRDefault="00063E35" w:rsidP="00CC1060">
                  <w:pPr>
                    <w:rPr>
                      <w:szCs w:val="24"/>
                    </w:rPr>
                  </w:pPr>
                  <w:r>
                    <w:t xml:space="preserve">Public Lavatory Faucet FCV Commercial Buildings: 1.0 GPM </w:t>
                  </w:r>
                </w:p>
              </w:tc>
            </w:tr>
            <w:tr w:rsidR="00063E35" w14:paraId="21927FC5"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2B417E4C" w14:textId="38028367" w:rsidR="00063E35" w:rsidRDefault="00063E35" w:rsidP="00CC1060">
                  <w:pPr>
                    <w:rPr>
                      <w:rFonts w:cstheme="minorHAnsi"/>
                    </w:rPr>
                  </w:pPr>
                  <w:r w:rsidRPr="00D27B1F">
                    <w:rPr>
                      <w:rFonts w:cstheme="minorHAnsi"/>
                    </w:rPr>
                    <w:t>540750</w:t>
                  </w:r>
                </w:p>
              </w:tc>
              <w:tc>
                <w:tcPr>
                  <w:tcW w:w="570" w:type="pct"/>
                  <w:tcBorders>
                    <w:top w:val="single" w:sz="4" w:space="0" w:color="auto"/>
                    <w:left w:val="single" w:sz="4" w:space="0" w:color="auto"/>
                    <w:bottom w:val="single" w:sz="4" w:space="0" w:color="auto"/>
                    <w:right w:val="single" w:sz="4" w:space="0" w:color="auto"/>
                  </w:tcBorders>
                </w:tcPr>
                <w:p w14:paraId="542B7126" w14:textId="67F17077" w:rsidR="00063E35" w:rsidRDefault="00063E35" w:rsidP="006C63A0">
                  <w:pPr>
                    <w:rPr>
                      <w:rFonts w:cstheme="minorHAnsi"/>
                    </w:rPr>
                  </w:pPr>
                  <w:r w:rsidRPr="006E306B">
                    <w:rPr>
                      <w:rFonts w:cstheme="minorHAnsi"/>
                    </w:rPr>
                    <w:t>46714</w:t>
                  </w:r>
                  <w:r>
                    <w:rPr>
                      <w:rFonts w:cstheme="minorHAnsi"/>
                    </w:rPr>
                    <w:t>8</w:t>
                  </w:r>
                </w:p>
                <w:p w14:paraId="0A96EB53" w14:textId="73865822" w:rsidR="00063E35" w:rsidRDefault="00063E35" w:rsidP="006C63A0">
                  <w:pPr>
                    <w:rPr>
                      <w:rFonts w:cstheme="minorHAnsi"/>
                    </w:rPr>
                  </w:pPr>
                  <w:r w:rsidRPr="006E306B">
                    <w:rPr>
                      <w:rFonts w:cstheme="minorHAnsi"/>
                    </w:rPr>
                    <w:t>46714</w:t>
                  </w:r>
                  <w:r>
                    <w:rPr>
                      <w:rFonts w:cstheme="minorHAnsi"/>
                    </w:rPr>
                    <w:t>9</w:t>
                  </w:r>
                </w:p>
              </w:tc>
              <w:tc>
                <w:tcPr>
                  <w:tcW w:w="1479" w:type="pct"/>
                  <w:tcBorders>
                    <w:top w:val="single" w:sz="4" w:space="0" w:color="auto"/>
                    <w:left w:val="single" w:sz="4" w:space="0" w:color="auto"/>
                    <w:bottom w:val="single" w:sz="4" w:space="0" w:color="auto"/>
                    <w:right w:val="single" w:sz="4" w:space="0" w:color="auto"/>
                  </w:tcBorders>
                </w:tcPr>
                <w:p w14:paraId="412DF860" w14:textId="4C25599B" w:rsidR="00063E35" w:rsidRDefault="00063E35" w:rsidP="00063E35">
                  <w:pPr>
                    <w:jc w:val="center"/>
                    <w:rPr>
                      <w:rFonts w:cstheme="minorHAnsi"/>
                    </w:rPr>
                  </w:pPr>
                  <w:r>
                    <w:rPr>
                      <w:rFonts w:cstheme="minorHAnsi"/>
                      <w:color w:val="000000" w:themeColor="text1"/>
                    </w:rPr>
                    <w:t>Msr004</w:t>
                  </w:r>
                </w:p>
              </w:tc>
              <w:tc>
                <w:tcPr>
                  <w:tcW w:w="2395" w:type="pct"/>
                  <w:tcBorders>
                    <w:top w:val="single" w:sz="4" w:space="0" w:color="auto"/>
                    <w:left w:val="single" w:sz="4" w:space="0" w:color="auto"/>
                    <w:bottom w:val="single" w:sz="4" w:space="0" w:color="auto"/>
                    <w:right w:val="single" w:sz="4" w:space="0" w:color="auto"/>
                  </w:tcBorders>
                  <w:hideMark/>
                </w:tcPr>
                <w:p w14:paraId="1B9E438F" w14:textId="77777777" w:rsidR="00063E35" w:rsidRDefault="00063E35" w:rsidP="00CC1060">
                  <w:pPr>
                    <w:rPr>
                      <w:szCs w:val="24"/>
                    </w:rPr>
                  </w:pPr>
                  <w:r>
                    <w:t xml:space="preserve">Private Lavatory Faucet FCV Commercial Buildings: 1.0 GPM </w:t>
                  </w:r>
                </w:p>
              </w:tc>
            </w:tr>
            <w:tr w:rsidR="00063E35" w14:paraId="7F8BEA06"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7536E372" w14:textId="77777777" w:rsidR="00063E35" w:rsidRDefault="00063E35" w:rsidP="00CC1060">
                  <w:pPr>
                    <w:rPr>
                      <w:rFonts w:cstheme="minorHAnsi"/>
                    </w:rPr>
                  </w:pPr>
                  <w:r w:rsidRPr="00D27B1F">
                    <w:rPr>
                      <w:rFonts w:cstheme="minorHAnsi"/>
                    </w:rPr>
                    <w:t>540742</w:t>
                  </w:r>
                </w:p>
                <w:p w14:paraId="0C3C7299" w14:textId="3A4758A1" w:rsidR="00063E35" w:rsidRDefault="00063E35" w:rsidP="00CC1060">
                  <w:pPr>
                    <w:rPr>
                      <w:rFonts w:cstheme="minorHAnsi"/>
                    </w:rPr>
                  </w:pPr>
                  <w:r w:rsidRPr="00D27B1F">
                    <w:rPr>
                      <w:rFonts w:cstheme="minorHAnsi"/>
                    </w:rPr>
                    <w:t>540743</w:t>
                  </w:r>
                </w:p>
              </w:tc>
              <w:tc>
                <w:tcPr>
                  <w:tcW w:w="570" w:type="pct"/>
                  <w:tcBorders>
                    <w:top w:val="single" w:sz="4" w:space="0" w:color="auto"/>
                    <w:left w:val="single" w:sz="4" w:space="0" w:color="auto"/>
                    <w:bottom w:val="single" w:sz="4" w:space="0" w:color="auto"/>
                    <w:right w:val="single" w:sz="4" w:space="0" w:color="auto"/>
                  </w:tcBorders>
                </w:tcPr>
                <w:p w14:paraId="03B9366D" w14:textId="77777777" w:rsidR="00063E35" w:rsidRDefault="00063E35" w:rsidP="00CC1060">
                  <w:pPr>
                    <w:rPr>
                      <w:rFonts w:cstheme="minorHAnsi"/>
                    </w:rPr>
                  </w:pPr>
                  <w:r w:rsidRPr="00020336">
                    <w:rPr>
                      <w:rFonts w:cstheme="minorHAnsi"/>
                    </w:rPr>
                    <w:t>467136</w:t>
                  </w:r>
                </w:p>
                <w:p w14:paraId="06051CBF" w14:textId="18C4F7F6" w:rsidR="00063E35" w:rsidRDefault="00063E35" w:rsidP="00CC1060">
                  <w:pPr>
                    <w:rPr>
                      <w:rFonts w:cstheme="minorHAnsi"/>
                    </w:rPr>
                  </w:pPr>
                  <w:r w:rsidRPr="00020336">
                    <w:rPr>
                      <w:rFonts w:cstheme="minorHAnsi"/>
                    </w:rPr>
                    <w:t>46713</w:t>
                  </w:r>
                  <w:r>
                    <w:rPr>
                      <w:rFonts w:cstheme="minorHAnsi"/>
                    </w:rPr>
                    <w:t>7</w:t>
                  </w:r>
                </w:p>
              </w:tc>
              <w:tc>
                <w:tcPr>
                  <w:tcW w:w="1479" w:type="pct"/>
                  <w:tcBorders>
                    <w:top w:val="single" w:sz="4" w:space="0" w:color="auto"/>
                    <w:left w:val="single" w:sz="4" w:space="0" w:color="auto"/>
                    <w:bottom w:val="single" w:sz="4" w:space="0" w:color="auto"/>
                    <w:right w:val="single" w:sz="4" w:space="0" w:color="auto"/>
                  </w:tcBorders>
                </w:tcPr>
                <w:p w14:paraId="7D0EECD8" w14:textId="1544A772" w:rsidR="00063E35" w:rsidRDefault="00063E35" w:rsidP="00063E35">
                  <w:pPr>
                    <w:jc w:val="center"/>
                    <w:rPr>
                      <w:rFonts w:cstheme="minorHAnsi"/>
                    </w:rPr>
                  </w:pPr>
                  <w:r>
                    <w:rPr>
                      <w:rFonts w:cstheme="minorHAnsi"/>
                      <w:color w:val="000000" w:themeColor="text1"/>
                    </w:rPr>
                    <w:t>Msr005</w:t>
                  </w:r>
                </w:p>
              </w:tc>
              <w:tc>
                <w:tcPr>
                  <w:tcW w:w="2395" w:type="pct"/>
                  <w:tcBorders>
                    <w:top w:val="single" w:sz="4" w:space="0" w:color="auto"/>
                    <w:left w:val="single" w:sz="4" w:space="0" w:color="auto"/>
                    <w:bottom w:val="single" w:sz="4" w:space="0" w:color="auto"/>
                    <w:right w:val="single" w:sz="4" w:space="0" w:color="auto"/>
                  </w:tcBorders>
                  <w:hideMark/>
                </w:tcPr>
                <w:p w14:paraId="40A11ABF" w14:textId="77777777" w:rsidR="00063E35" w:rsidRDefault="00063E35" w:rsidP="00CC1060">
                  <w:pPr>
                    <w:rPr>
                      <w:szCs w:val="24"/>
                    </w:rPr>
                  </w:pPr>
                  <w:r>
                    <w:t>Res Showerhead FCV: 1.25 GPM</w:t>
                  </w:r>
                </w:p>
              </w:tc>
            </w:tr>
            <w:tr w:rsidR="00063E35" w14:paraId="18B3CD2E"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0B933199" w14:textId="77777777" w:rsidR="00063E35" w:rsidRDefault="00063E35" w:rsidP="00CC1060">
                  <w:pPr>
                    <w:rPr>
                      <w:rFonts w:cstheme="minorHAnsi"/>
                    </w:rPr>
                  </w:pPr>
                  <w:r w:rsidRPr="00D27B1F">
                    <w:rPr>
                      <w:rFonts w:cstheme="minorHAnsi"/>
                    </w:rPr>
                    <w:t>540744</w:t>
                  </w:r>
                </w:p>
                <w:p w14:paraId="359DE3D0" w14:textId="5EE2DA4E" w:rsidR="00063E35" w:rsidRDefault="00063E35" w:rsidP="00CC1060">
                  <w:pPr>
                    <w:rPr>
                      <w:rFonts w:cstheme="minorHAnsi"/>
                    </w:rPr>
                  </w:pPr>
                  <w:r w:rsidRPr="00D27B1F">
                    <w:rPr>
                      <w:rFonts w:cstheme="minorHAnsi"/>
                    </w:rPr>
                    <w:t>540745</w:t>
                  </w:r>
                </w:p>
              </w:tc>
              <w:tc>
                <w:tcPr>
                  <w:tcW w:w="570" w:type="pct"/>
                  <w:tcBorders>
                    <w:top w:val="single" w:sz="4" w:space="0" w:color="auto"/>
                    <w:left w:val="single" w:sz="4" w:space="0" w:color="auto"/>
                    <w:bottom w:val="single" w:sz="4" w:space="0" w:color="auto"/>
                    <w:right w:val="single" w:sz="4" w:space="0" w:color="auto"/>
                  </w:tcBorders>
                </w:tcPr>
                <w:p w14:paraId="063B3300" w14:textId="621CDB3F" w:rsidR="00063E35" w:rsidRDefault="00063E35" w:rsidP="00AE43B2">
                  <w:pPr>
                    <w:rPr>
                      <w:rFonts w:cstheme="minorHAnsi"/>
                    </w:rPr>
                  </w:pPr>
                  <w:r w:rsidRPr="00020336">
                    <w:rPr>
                      <w:rFonts w:cstheme="minorHAnsi"/>
                    </w:rPr>
                    <w:t>46713</w:t>
                  </w:r>
                  <w:r>
                    <w:rPr>
                      <w:rFonts w:cstheme="minorHAnsi"/>
                    </w:rPr>
                    <w:t>8</w:t>
                  </w:r>
                </w:p>
                <w:p w14:paraId="05397151" w14:textId="7D078111" w:rsidR="00063E35" w:rsidRDefault="00063E35" w:rsidP="00AE43B2">
                  <w:pPr>
                    <w:rPr>
                      <w:rFonts w:cstheme="minorHAnsi"/>
                    </w:rPr>
                  </w:pPr>
                  <w:r w:rsidRPr="00020336">
                    <w:rPr>
                      <w:rFonts w:cstheme="minorHAnsi"/>
                    </w:rPr>
                    <w:t>46713</w:t>
                  </w:r>
                  <w:r>
                    <w:rPr>
                      <w:rFonts w:cstheme="minorHAnsi"/>
                    </w:rPr>
                    <w:t>9</w:t>
                  </w:r>
                </w:p>
              </w:tc>
              <w:tc>
                <w:tcPr>
                  <w:tcW w:w="1479" w:type="pct"/>
                  <w:tcBorders>
                    <w:top w:val="single" w:sz="4" w:space="0" w:color="auto"/>
                    <w:left w:val="single" w:sz="4" w:space="0" w:color="auto"/>
                    <w:bottom w:val="single" w:sz="4" w:space="0" w:color="auto"/>
                    <w:right w:val="single" w:sz="4" w:space="0" w:color="auto"/>
                  </w:tcBorders>
                </w:tcPr>
                <w:p w14:paraId="73F30CED" w14:textId="5CA07AF7" w:rsidR="00063E35" w:rsidRDefault="00063E35" w:rsidP="00063E35">
                  <w:pPr>
                    <w:jc w:val="center"/>
                    <w:rPr>
                      <w:rFonts w:cstheme="minorHAnsi"/>
                    </w:rPr>
                  </w:pPr>
                  <w:r>
                    <w:rPr>
                      <w:rFonts w:cstheme="minorHAnsi"/>
                      <w:color w:val="000000" w:themeColor="text1"/>
                    </w:rPr>
                    <w:t>Msr006</w:t>
                  </w:r>
                </w:p>
              </w:tc>
              <w:tc>
                <w:tcPr>
                  <w:tcW w:w="2395" w:type="pct"/>
                  <w:tcBorders>
                    <w:top w:val="single" w:sz="4" w:space="0" w:color="auto"/>
                    <w:left w:val="single" w:sz="4" w:space="0" w:color="auto"/>
                    <w:bottom w:val="single" w:sz="4" w:space="0" w:color="auto"/>
                    <w:right w:val="single" w:sz="4" w:space="0" w:color="auto"/>
                  </w:tcBorders>
                  <w:hideMark/>
                </w:tcPr>
                <w:p w14:paraId="4E43C39A" w14:textId="77777777" w:rsidR="00063E35" w:rsidRDefault="00063E35" w:rsidP="00CC1060">
                  <w:pPr>
                    <w:rPr>
                      <w:szCs w:val="24"/>
                    </w:rPr>
                  </w:pPr>
                  <w:r>
                    <w:t xml:space="preserve">Res Showerhead FCV: 1.50 GPM </w:t>
                  </w:r>
                </w:p>
              </w:tc>
            </w:tr>
            <w:tr w:rsidR="00063E35" w14:paraId="66C5A12C"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44D31635" w14:textId="5968AD84" w:rsidR="00063E35" w:rsidRDefault="00063E35" w:rsidP="00CC1060">
                  <w:pPr>
                    <w:rPr>
                      <w:rFonts w:cstheme="minorHAnsi"/>
                    </w:rPr>
                  </w:pPr>
                  <w:r w:rsidRPr="00D27B1F">
                    <w:rPr>
                      <w:rFonts w:cstheme="minorHAnsi"/>
                    </w:rPr>
                    <w:t>540746</w:t>
                  </w:r>
                </w:p>
              </w:tc>
              <w:tc>
                <w:tcPr>
                  <w:tcW w:w="570" w:type="pct"/>
                  <w:tcBorders>
                    <w:top w:val="single" w:sz="4" w:space="0" w:color="auto"/>
                    <w:left w:val="single" w:sz="4" w:space="0" w:color="auto"/>
                    <w:bottom w:val="single" w:sz="4" w:space="0" w:color="auto"/>
                    <w:right w:val="single" w:sz="4" w:space="0" w:color="auto"/>
                  </w:tcBorders>
                </w:tcPr>
                <w:p w14:paraId="579C535B" w14:textId="77777777" w:rsidR="00063E35" w:rsidRDefault="00063E35" w:rsidP="00CC1060">
                  <w:pPr>
                    <w:rPr>
                      <w:rFonts w:cstheme="minorHAnsi"/>
                    </w:rPr>
                  </w:pPr>
                  <w:r w:rsidRPr="00020336">
                    <w:rPr>
                      <w:rFonts w:cstheme="minorHAnsi"/>
                    </w:rPr>
                    <w:t>4671</w:t>
                  </w:r>
                  <w:r>
                    <w:rPr>
                      <w:rFonts w:cstheme="minorHAnsi"/>
                    </w:rPr>
                    <w:t>40</w:t>
                  </w:r>
                </w:p>
                <w:p w14:paraId="7107C771" w14:textId="7F271858" w:rsidR="00063E35" w:rsidRDefault="00063E35" w:rsidP="00CC1060">
                  <w:pPr>
                    <w:rPr>
                      <w:rFonts w:cstheme="minorHAnsi"/>
                    </w:rPr>
                  </w:pPr>
                  <w:r w:rsidRPr="00020336">
                    <w:rPr>
                      <w:rFonts w:cstheme="minorHAnsi"/>
                    </w:rPr>
                    <w:t>4671</w:t>
                  </w:r>
                  <w:r>
                    <w:rPr>
                      <w:rFonts w:cstheme="minorHAnsi"/>
                    </w:rPr>
                    <w:t>41</w:t>
                  </w:r>
                </w:p>
              </w:tc>
              <w:tc>
                <w:tcPr>
                  <w:tcW w:w="1479" w:type="pct"/>
                  <w:tcBorders>
                    <w:top w:val="single" w:sz="4" w:space="0" w:color="auto"/>
                    <w:left w:val="single" w:sz="4" w:space="0" w:color="auto"/>
                    <w:bottom w:val="single" w:sz="4" w:space="0" w:color="auto"/>
                    <w:right w:val="single" w:sz="4" w:space="0" w:color="auto"/>
                  </w:tcBorders>
                </w:tcPr>
                <w:p w14:paraId="5B430F1F" w14:textId="0F2FEEE9" w:rsidR="00063E35" w:rsidRDefault="00063E35" w:rsidP="00063E35">
                  <w:pPr>
                    <w:jc w:val="center"/>
                    <w:rPr>
                      <w:rFonts w:cstheme="minorHAnsi"/>
                    </w:rPr>
                  </w:pPr>
                  <w:r>
                    <w:rPr>
                      <w:rFonts w:cstheme="minorHAnsi"/>
                      <w:color w:val="000000" w:themeColor="text1"/>
                    </w:rPr>
                    <w:t>Msr007</w:t>
                  </w:r>
                </w:p>
              </w:tc>
              <w:tc>
                <w:tcPr>
                  <w:tcW w:w="2395" w:type="pct"/>
                  <w:tcBorders>
                    <w:top w:val="single" w:sz="4" w:space="0" w:color="auto"/>
                    <w:left w:val="single" w:sz="4" w:space="0" w:color="auto"/>
                    <w:bottom w:val="single" w:sz="4" w:space="0" w:color="auto"/>
                    <w:right w:val="single" w:sz="4" w:space="0" w:color="auto"/>
                  </w:tcBorders>
                  <w:hideMark/>
                </w:tcPr>
                <w:p w14:paraId="36A8049C" w14:textId="77777777" w:rsidR="00063E35" w:rsidRDefault="00063E35" w:rsidP="00CC1060">
                  <w:pPr>
                    <w:rPr>
                      <w:szCs w:val="24"/>
                    </w:rPr>
                  </w:pPr>
                  <w:r>
                    <w:t xml:space="preserve">Com Showerhead FCV: 1.50 GPM </w:t>
                  </w:r>
                </w:p>
              </w:tc>
            </w:tr>
            <w:tr w:rsidR="00063E35" w14:paraId="4C8FC76A" w14:textId="77777777" w:rsidTr="00063E35">
              <w:trPr>
                <w:trHeight w:val="243"/>
              </w:trPr>
              <w:tc>
                <w:tcPr>
                  <w:tcW w:w="556" w:type="pct"/>
                  <w:tcBorders>
                    <w:top w:val="single" w:sz="4" w:space="0" w:color="auto"/>
                    <w:left w:val="single" w:sz="4" w:space="0" w:color="auto"/>
                    <w:bottom w:val="single" w:sz="4" w:space="0" w:color="auto"/>
                    <w:right w:val="single" w:sz="4" w:space="0" w:color="auto"/>
                  </w:tcBorders>
                  <w:hideMark/>
                </w:tcPr>
                <w:p w14:paraId="46C50048" w14:textId="1FCD7EF6" w:rsidR="00063E35" w:rsidRDefault="00063E35" w:rsidP="00CC1060">
                  <w:pPr>
                    <w:rPr>
                      <w:rFonts w:cstheme="minorHAnsi"/>
                    </w:rPr>
                  </w:pPr>
                  <w:r w:rsidRPr="00D27B1F">
                    <w:rPr>
                      <w:rFonts w:cstheme="minorHAnsi"/>
                    </w:rPr>
                    <w:t>540748</w:t>
                  </w:r>
                </w:p>
              </w:tc>
              <w:tc>
                <w:tcPr>
                  <w:tcW w:w="570" w:type="pct"/>
                  <w:tcBorders>
                    <w:top w:val="single" w:sz="4" w:space="0" w:color="auto"/>
                    <w:left w:val="single" w:sz="4" w:space="0" w:color="auto"/>
                    <w:bottom w:val="single" w:sz="4" w:space="0" w:color="auto"/>
                    <w:right w:val="single" w:sz="4" w:space="0" w:color="auto"/>
                  </w:tcBorders>
                </w:tcPr>
                <w:p w14:paraId="0E19D43E" w14:textId="77777777" w:rsidR="00063E35" w:rsidRDefault="00063E35" w:rsidP="00CC1060">
                  <w:pPr>
                    <w:rPr>
                      <w:rFonts w:cstheme="minorHAnsi"/>
                    </w:rPr>
                  </w:pPr>
                  <w:r w:rsidRPr="006E306B">
                    <w:rPr>
                      <w:rFonts w:cstheme="minorHAnsi"/>
                    </w:rPr>
                    <w:t>467144</w:t>
                  </w:r>
                </w:p>
                <w:p w14:paraId="0EA8A832" w14:textId="12DB4B40" w:rsidR="00063E35" w:rsidRDefault="00063E35" w:rsidP="00CC1060">
                  <w:pPr>
                    <w:rPr>
                      <w:rFonts w:cstheme="minorHAnsi"/>
                    </w:rPr>
                  </w:pPr>
                  <w:r w:rsidRPr="006E306B">
                    <w:rPr>
                      <w:rFonts w:cstheme="minorHAnsi"/>
                    </w:rPr>
                    <w:t>46714</w:t>
                  </w:r>
                  <w:r>
                    <w:rPr>
                      <w:rFonts w:cstheme="minorHAnsi"/>
                    </w:rPr>
                    <w:t>5</w:t>
                  </w:r>
                </w:p>
              </w:tc>
              <w:tc>
                <w:tcPr>
                  <w:tcW w:w="1479" w:type="pct"/>
                  <w:tcBorders>
                    <w:top w:val="single" w:sz="4" w:space="0" w:color="auto"/>
                    <w:left w:val="single" w:sz="4" w:space="0" w:color="auto"/>
                    <w:bottom w:val="single" w:sz="4" w:space="0" w:color="auto"/>
                    <w:right w:val="single" w:sz="4" w:space="0" w:color="auto"/>
                  </w:tcBorders>
                </w:tcPr>
                <w:p w14:paraId="4EF8BCF7" w14:textId="707FAB88" w:rsidR="00063E35" w:rsidRDefault="00063E35" w:rsidP="00063E35">
                  <w:pPr>
                    <w:jc w:val="center"/>
                    <w:rPr>
                      <w:rFonts w:cstheme="minorHAnsi"/>
                    </w:rPr>
                  </w:pPr>
                  <w:r>
                    <w:rPr>
                      <w:rFonts w:cstheme="minorHAnsi"/>
                      <w:color w:val="000000" w:themeColor="text1"/>
                    </w:rPr>
                    <w:t>Msr008</w:t>
                  </w:r>
                </w:p>
              </w:tc>
              <w:tc>
                <w:tcPr>
                  <w:tcW w:w="2395" w:type="pct"/>
                  <w:tcBorders>
                    <w:top w:val="single" w:sz="4" w:space="0" w:color="auto"/>
                    <w:left w:val="single" w:sz="4" w:space="0" w:color="auto"/>
                    <w:bottom w:val="single" w:sz="4" w:space="0" w:color="auto"/>
                    <w:right w:val="single" w:sz="4" w:space="0" w:color="auto"/>
                  </w:tcBorders>
                  <w:hideMark/>
                </w:tcPr>
                <w:p w14:paraId="37763303" w14:textId="77777777" w:rsidR="00063E35" w:rsidRDefault="00063E35" w:rsidP="00CC1060">
                  <w:pPr>
                    <w:rPr>
                      <w:szCs w:val="24"/>
                    </w:rPr>
                  </w:pPr>
                  <w:r>
                    <w:t>Kitchen Faucet FCV: 1.5 GPM</w:t>
                  </w:r>
                </w:p>
              </w:tc>
            </w:tr>
          </w:tbl>
          <w:p w14:paraId="09380C43" w14:textId="77777777" w:rsidR="00951306" w:rsidRDefault="00951306" w:rsidP="004D4511">
            <w:pPr>
              <w:jc w:val="both"/>
              <w:rPr>
                <w:rFonts w:asciiTheme="minorHAnsi" w:hAnsiTheme="minorHAnsi" w:cstheme="minorHAnsi"/>
                <w:sz w:val="20"/>
                <w:szCs w:val="20"/>
              </w:rPr>
            </w:pPr>
          </w:p>
          <w:p w14:paraId="205D9A18" w14:textId="3EF99E3B" w:rsidR="004D4511" w:rsidRPr="0018637F" w:rsidRDefault="003115FE" w:rsidP="004D4511">
            <w:pPr>
              <w:jc w:val="both"/>
              <w:rPr>
                <w:rFonts w:asciiTheme="minorHAnsi" w:hAnsiTheme="minorHAnsi" w:cstheme="minorHAnsi"/>
                <w:sz w:val="20"/>
                <w:szCs w:val="20"/>
              </w:rPr>
            </w:pPr>
            <w:r>
              <w:rPr>
                <w:rFonts w:asciiTheme="minorHAnsi" w:hAnsiTheme="minorHAnsi" w:cstheme="minorHAnsi"/>
                <w:sz w:val="20"/>
                <w:szCs w:val="20"/>
              </w:rPr>
              <w:t xml:space="preserve">Note: SDG&amp;E has two measure codes per measure to account for each available delivery type (Direct Install </w:t>
            </w:r>
            <w:r w:rsidRPr="003115FE">
              <w:rPr>
                <w:rFonts w:asciiTheme="minorHAnsi" w:hAnsiTheme="minorHAnsi" w:cstheme="minorHAnsi"/>
                <w:sz w:val="20"/>
                <w:szCs w:val="20"/>
              </w:rPr>
              <w:t xml:space="preserve">and </w:t>
            </w:r>
            <w:r w:rsidRPr="003115FE">
              <w:rPr>
                <w:rFonts w:cstheme="minorHAnsi"/>
                <w:sz w:val="20"/>
                <w:szCs w:val="20"/>
              </w:rPr>
              <w:t>Downstream Incentive</w:t>
            </w:r>
            <w:r>
              <w:rPr>
                <w:rFonts w:cstheme="minorHAnsi"/>
                <w:sz w:val="20"/>
                <w:szCs w:val="20"/>
              </w:rPr>
              <w:t>)</w:t>
            </w:r>
          </w:p>
          <w:p w14:paraId="1FF11067" w14:textId="7A5F8D77" w:rsidR="005F021A" w:rsidRPr="00E733C7" w:rsidRDefault="005F021A" w:rsidP="005F021A">
            <w:pPr>
              <w:rPr>
                <w:rFonts w:cs="Arial"/>
                <w:sz w:val="20"/>
                <w:szCs w:val="20"/>
              </w:rPr>
            </w:pPr>
          </w:p>
        </w:tc>
      </w:tr>
      <w:tr w:rsidR="005F021A" w:rsidRPr="008775D7" w14:paraId="4A9FB8AB" w14:textId="77777777" w:rsidTr="00FF1E51">
        <w:trPr>
          <w:cantSplit/>
        </w:trPr>
        <w:tc>
          <w:tcPr>
            <w:tcW w:w="1901" w:type="dxa"/>
          </w:tcPr>
          <w:p w14:paraId="22ECFA4D" w14:textId="77777777" w:rsidR="005F021A" w:rsidRPr="00653C4B" w:rsidRDefault="005F021A" w:rsidP="005F021A">
            <w:pPr>
              <w:jc w:val="right"/>
              <w:rPr>
                <w:sz w:val="20"/>
                <w:szCs w:val="20"/>
              </w:rPr>
            </w:pPr>
            <w:r w:rsidRPr="00653C4B">
              <w:rPr>
                <w:sz w:val="20"/>
                <w:szCs w:val="20"/>
              </w:rPr>
              <w:lastRenderedPageBreak/>
              <w:t>Code for All Measures</w:t>
            </w:r>
          </w:p>
        </w:tc>
        <w:tc>
          <w:tcPr>
            <w:tcW w:w="9079" w:type="dxa"/>
          </w:tcPr>
          <w:p w14:paraId="50F1043E" w14:textId="739CB7A3" w:rsidR="005F021A" w:rsidRPr="000E65D6" w:rsidRDefault="00A52998" w:rsidP="005F021A">
            <w:pPr>
              <w:jc w:val="both"/>
              <w:rPr>
                <w:rFonts w:cs="Arial"/>
                <w:sz w:val="20"/>
                <w:szCs w:val="20"/>
              </w:rPr>
            </w:pPr>
            <w:r>
              <w:rPr>
                <w:rFonts w:cs="Arial"/>
                <w:sz w:val="20"/>
                <w:szCs w:val="20"/>
              </w:rPr>
              <w:t xml:space="preserve">Please reference </w:t>
            </w:r>
            <w:r w:rsidR="00D00FF6">
              <w:rPr>
                <w:sz w:val="20"/>
                <w:szCs w:val="20"/>
              </w:rPr>
              <w:t>WPSCGCCWH180504A Revision 0</w:t>
            </w:r>
            <w:r w:rsidR="008631AA">
              <w:rPr>
                <w:sz w:val="20"/>
                <w:szCs w:val="20"/>
              </w:rPr>
              <w:t xml:space="preserve"> </w:t>
            </w:r>
            <w:r>
              <w:rPr>
                <w:sz w:val="20"/>
                <w:szCs w:val="20"/>
              </w:rPr>
              <w:t>Section 1.4.2 Codes and Standards Analysis</w:t>
            </w:r>
          </w:p>
          <w:p w14:paraId="493C8EEC" w14:textId="388FF374" w:rsidR="005F021A" w:rsidRDefault="005F021A" w:rsidP="005F021A">
            <w:pPr>
              <w:jc w:val="both"/>
              <w:rPr>
                <w:rFonts w:cs="Arial"/>
                <w:sz w:val="20"/>
                <w:szCs w:val="20"/>
              </w:rPr>
            </w:pPr>
          </w:p>
          <w:p w14:paraId="0F072190" w14:textId="77777777" w:rsidR="00470997" w:rsidRDefault="00470997" w:rsidP="00470997">
            <w:pPr>
              <w:pStyle w:val="Caption"/>
              <w:keepNext/>
            </w:pPr>
            <w:bookmarkStart w:id="2" w:name="_Toc515621158"/>
            <w:r>
              <w:t xml:space="preserve">Figure </w:t>
            </w:r>
            <w:r>
              <w:rPr>
                <w:noProof/>
              </w:rPr>
              <w:fldChar w:fldCharType="begin"/>
            </w:r>
            <w:r>
              <w:rPr>
                <w:noProof/>
              </w:rPr>
              <w:instrText xml:space="preserve"> SEQ Figure \* ROMAN </w:instrText>
            </w:r>
            <w:r>
              <w:rPr>
                <w:noProof/>
              </w:rPr>
              <w:fldChar w:fldCharType="separate"/>
            </w:r>
            <w:r>
              <w:rPr>
                <w:noProof/>
              </w:rPr>
              <w:t>I</w:t>
            </w:r>
            <w:r>
              <w:rPr>
                <w:noProof/>
              </w:rPr>
              <w:fldChar w:fldCharType="end"/>
            </w:r>
            <w:r>
              <w:t xml:space="preserve">: </w:t>
            </w:r>
            <w:r w:rsidRPr="00795512">
              <w:t xml:space="preserve">Lavatory faucets and aerator </w:t>
            </w:r>
            <w:r>
              <w:t>Title</w:t>
            </w:r>
            <w:r w:rsidRPr="00795512">
              <w:t xml:space="preserve"> 20 requirements</w:t>
            </w:r>
            <w:bookmarkEnd w:id="2"/>
          </w:p>
          <w:p w14:paraId="057B8A40" w14:textId="791F5D55" w:rsidR="006C187B" w:rsidRDefault="00BB759F" w:rsidP="005F021A">
            <w:pPr>
              <w:jc w:val="both"/>
              <w:rPr>
                <w:rFonts w:cs="Arial"/>
                <w:sz w:val="20"/>
                <w:szCs w:val="20"/>
              </w:rPr>
            </w:pPr>
            <w:r>
              <w:rPr>
                <w:rFonts w:asciiTheme="minorHAnsi" w:hAnsiTheme="minorHAnsi" w:cstheme="minorHAnsi"/>
                <w:i/>
                <w:noProof/>
              </w:rPr>
              <w:drawing>
                <wp:inline distT="0" distB="0" distL="0" distR="0" wp14:anchorId="201C35E2" wp14:editId="1719AEE8">
                  <wp:extent cx="5056414" cy="2376336"/>
                  <wp:effectExtent l="19050" t="19050" r="11430" b="2413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0C614.tmp"/>
                          <pic:cNvPicPr/>
                        </pic:nvPicPr>
                        <pic:blipFill rotWithShape="1">
                          <a:blip r:embed="rId10">
                            <a:extLst>
                              <a:ext uri="{28A0092B-C50C-407E-A947-70E740481C1C}">
                                <a14:useLocalDpi xmlns:a14="http://schemas.microsoft.com/office/drawing/2010/main" val="0"/>
                              </a:ext>
                            </a:extLst>
                          </a:blip>
                          <a:srcRect l="3031" r="1683"/>
                          <a:stretch/>
                        </pic:blipFill>
                        <pic:spPr bwMode="auto">
                          <a:xfrm>
                            <a:off x="0" y="0"/>
                            <a:ext cx="5064344" cy="2380063"/>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34C8CD3" w14:textId="05D5DE27" w:rsidR="00BB759F" w:rsidRDefault="00BB759F" w:rsidP="005F021A">
            <w:pPr>
              <w:jc w:val="both"/>
              <w:rPr>
                <w:rFonts w:cs="Arial"/>
                <w:sz w:val="20"/>
                <w:szCs w:val="20"/>
              </w:rPr>
            </w:pPr>
          </w:p>
          <w:p w14:paraId="78B84040" w14:textId="757A8891" w:rsidR="00BB759F" w:rsidRDefault="00C87D02" w:rsidP="005F021A">
            <w:pPr>
              <w:jc w:val="both"/>
            </w:pPr>
            <w:bookmarkStart w:id="3" w:name="_Toc515621159"/>
            <w:r>
              <w:t xml:space="preserve">Figure </w:t>
            </w:r>
            <w:r>
              <w:rPr>
                <w:noProof/>
              </w:rPr>
              <w:fldChar w:fldCharType="begin"/>
            </w:r>
            <w:r>
              <w:rPr>
                <w:noProof/>
              </w:rPr>
              <w:instrText xml:space="preserve"> SEQ Figure \* ROMAN </w:instrText>
            </w:r>
            <w:r>
              <w:rPr>
                <w:noProof/>
              </w:rPr>
              <w:fldChar w:fldCharType="separate"/>
            </w:r>
            <w:r>
              <w:rPr>
                <w:noProof/>
              </w:rPr>
              <w:t>II</w:t>
            </w:r>
            <w:r>
              <w:rPr>
                <w:noProof/>
              </w:rPr>
              <w:fldChar w:fldCharType="end"/>
            </w:r>
            <w:r>
              <w:t>: Kitchen</w:t>
            </w:r>
            <w:r w:rsidRPr="002853EC">
              <w:t xml:space="preserve"> faucets and aerator </w:t>
            </w:r>
            <w:r>
              <w:t>Title</w:t>
            </w:r>
            <w:r w:rsidRPr="002853EC">
              <w:t xml:space="preserve"> 20 requirements</w:t>
            </w:r>
            <w:bookmarkEnd w:id="3"/>
          </w:p>
          <w:p w14:paraId="78D611A4" w14:textId="3AB2568C" w:rsidR="00C87D02" w:rsidRPr="000E65D6" w:rsidRDefault="00990955" w:rsidP="005F021A">
            <w:pPr>
              <w:jc w:val="both"/>
              <w:rPr>
                <w:rFonts w:cs="Arial"/>
                <w:sz w:val="20"/>
                <w:szCs w:val="20"/>
              </w:rPr>
            </w:pPr>
            <w:r>
              <w:rPr>
                <w:rFonts w:asciiTheme="minorHAnsi" w:hAnsiTheme="minorHAnsi" w:cstheme="minorHAnsi"/>
                <w:i/>
                <w:noProof/>
              </w:rPr>
              <w:drawing>
                <wp:inline distT="0" distB="0" distL="0" distR="0" wp14:anchorId="66AF11F2" wp14:editId="1D134793">
                  <wp:extent cx="5055870" cy="1620228"/>
                  <wp:effectExtent l="19050" t="19050" r="11430" b="18415"/>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0A0BC.tmp"/>
                          <pic:cNvPicPr/>
                        </pic:nvPicPr>
                        <pic:blipFill rotWithShape="1">
                          <a:blip r:embed="rId11">
                            <a:extLst>
                              <a:ext uri="{28A0092B-C50C-407E-A947-70E740481C1C}">
                                <a14:useLocalDpi xmlns:a14="http://schemas.microsoft.com/office/drawing/2010/main" val="0"/>
                              </a:ext>
                            </a:extLst>
                          </a:blip>
                          <a:srcRect l="3986" t="12060" r="1372"/>
                          <a:stretch/>
                        </pic:blipFill>
                        <pic:spPr bwMode="auto">
                          <a:xfrm>
                            <a:off x="0" y="0"/>
                            <a:ext cx="5088492" cy="1630682"/>
                          </a:xfrm>
                          <a:prstGeom prst="rect">
                            <a:avLst/>
                          </a:prstGeom>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28154D7B" w14:textId="77777777" w:rsidR="005F021A" w:rsidRDefault="005F021A" w:rsidP="005F021A">
            <w:pPr>
              <w:jc w:val="both"/>
              <w:rPr>
                <w:rFonts w:cs="Arial"/>
                <w:sz w:val="20"/>
                <w:szCs w:val="20"/>
              </w:rPr>
            </w:pPr>
          </w:p>
          <w:p w14:paraId="5317ACFF" w14:textId="77777777" w:rsidR="00124ABC" w:rsidRDefault="00124ABC" w:rsidP="00124ABC">
            <w:pPr>
              <w:pStyle w:val="Caption"/>
              <w:keepNext/>
            </w:pPr>
            <w:bookmarkStart w:id="4" w:name="_Toc515621160"/>
            <w:r>
              <w:t xml:space="preserve">Figure </w:t>
            </w:r>
            <w:r>
              <w:rPr>
                <w:noProof/>
              </w:rPr>
              <w:fldChar w:fldCharType="begin"/>
            </w:r>
            <w:r>
              <w:rPr>
                <w:noProof/>
              </w:rPr>
              <w:instrText xml:space="preserve"> SEQ Figure \* ROMAN </w:instrText>
            </w:r>
            <w:r>
              <w:rPr>
                <w:noProof/>
              </w:rPr>
              <w:fldChar w:fldCharType="separate"/>
            </w:r>
            <w:r>
              <w:rPr>
                <w:noProof/>
              </w:rPr>
              <w:t>III</w:t>
            </w:r>
            <w:r>
              <w:rPr>
                <w:noProof/>
              </w:rPr>
              <w:fldChar w:fldCharType="end"/>
            </w:r>
            <w:r>
              <w:t>: Showerheads</w:t>
            </w:r>
            <w:r w:rsidRPr="004E62EF">
              <w:t xml:space="preserve"> </w:t>
            </w:r>
            <w:r>
              <w:t>Title</w:t>
            </w:r>
            <w:r w:rsidRPr="004E62EF">
              <w:t xml:space="preserve"> 20 requirements</w:t>
            </w:r>
            <w:bookmarkEnd w:id="4"/>
          </w:p>
          <w:p w14:paraId="4E548AFA" w14:textId="77777777" w:rsidR="00124ABC" w:rsidRDefault="00124ABC" w:rsidP="00124ABC">
            <w:pPr>
              <w:pStyle w:val="Caption"/>
              <w:keepNext/>
              <w:rPr>
                <w:b w:val="0"/>
              </w:rPr>
            </w:pPr>
            <w:r>
              <w:rPr>
                <w:b w:val="0"/>
                <w:noProof/>
              </w:rPr>
              <w:drawing>
                <wp:inline distT="0" distB="0" distL="0" distR="0" wp14:anchorId="514671F6" wp14:editId="40020B95">
                  <wp:extent cx="4876800" cy="1569316"/>
                  <wp:effectExtent l="19050" t="19050" r="19050" b="12065"/>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09162.tmp"/>
                          <pic:cNvPicPr/>
                        </pic:nvPicPr>
                        <pic:blipFill rotWithShape="1">
                          <a:blip r:embed="rId12">
                            <a:extLst>
                              <a:ext uri="{28A0092B-C50C-407E-A947-70E740481C1C}">
                                <a14:useLocalDpi xmlns:a14="http://schemas.microsoft.com/office/drawing/2010/main" val="0"/>
                              </a:ext>
                            </a:extLst>
                          </a:blip>
                          <a:srcRect l="4348" r="2835" b="4819"/>
                          <a:stretch/>
                        </pic:blipFill>
                        <pic:spPr bwMode="auto">
                          <a:xfrm>
                            <a:off x="0" y="0"/>
                            <a:ext cx="4902121" cy="1577464"/>
                          </a:xfrm>
                          <a:prstGeom prst="rect">
                            <a:avLst/>
                          </a:prstGeom>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1C647895" w14:textId="77777777" w:rsidR="00124ABC" w:rsidRPr="00500C4E" w:rsidRDefault="00124ABC" w:rsidP="00124ABC">
            <w:pPr>
              <w:pStyle w:val="Caption"/>
              <w:keepNext/>
              <w:rPr>
                <w:rFonts w:cstheme="minorHAnsi"/>
                <w:szCs w:val="22"/>
              </w:rPr>
            </w:pPr>
          </w:p>
          <w:p w14:paraId="5572A4D9" w14:textId="77777777" w:rsidR="00124ABC" w:rsidRDefault="00124ABC" w:rsidP="00124ABC">
            <w:pPr>
              <w:pStyle w:val="Caption"/>
              <w:keepNext/>
            </w:pPr>
            <w:bookmarkStart w:id="5" w:name="_Toc515621155"/>
            <w:r>
              <w:t xml:space="preserve">Table </w:t>
            </w:r>
            <w:r>
              <w:rPr>
                <w:noProof/>
              </w:rPr>
              <w:fldChar w:fldCharType="begin"/>
            </w:r>
            <w:r>
              <w:rPr>
                <w:noProof/>
              </w:rPr>
              <w:instrText xml:space="preserve"> SEQ Table \* ROMAN </w:instrText>
            </w:r>
            <w:r>
              <w:rPr>
                <w:noProof/>
              </w:rPr>
              <w:fldChar w:fldCharType="separate"/>
            </w:r>
            <w:r>
              <w:rPr>
                <w:noProof/>
              </w:rPr>
              <w:t>IX</w:t>
            </w:r>
            <w:r>
              <w:rPr>
                <w:noProof/>
              </w:rPr>
              <w:fldChar w:fldCharType="end"/>
            </w:r>
            <w:r>
              <w:t xml:space="preserve">: </w:t>
            </w:r>
            <w:r w:rsidRPr="001E7323">
              <w:t>Code Summary</w:t>
            </w:r>
            <w:bookmarkEnd w:id="5"/>
          </w:p>
          <w:tbl>
            <w:tblPr>
              <w:tblStyle w:val="TableGrid1"/>
              <w:tblW w:w="4803" w:type="pct"/>
              <w:tblLayout w:type="fixed"/>
              <w:tblLook w:val="04A0" w:firstRow="1" w:lastRow="0" w:firstColumn="1" w:lastColumn="0" w:noHBand="0" w:noVBand="1"/>
            </w:tblPr>
            <w:tblGrid>
              <w:gridCol w:w="1347"/>
              <w:gridCol w:w="3000"/>
              <w:gridCol w:w="4157"/>
            </w:tblGrid>
            <w:tr w:rsidR="00124ABC" w:rsidRPr="00500C4E" w14:paraId="19FADD13" w14:textId="77777777" w:rsidTr="00FA33A1">
              <w:tc>
                <w:tcPr>
                  <w:tcW w:w="792" w:type="pct"/>
                  <w:shd w:val="clear" w:color="auto" w:fill="D9D9D9" w:themeFill="background1" w:themeFillShade="D9"/>
                </w:tcPr>
                <w:p w14:paraId="2A2B05EE" w14:textId="77777777" w:rsidR="00124ABC" w:rsidRPr="00920905" w:rsidRDefault="00124ABC" w:rsidP="00124ABC">
                  <w:pPr>
                    <w:rPr>
                      <w:rFonts w:cstheme="minorHAnsi"/>
                      <w:b/>
                    </w:rPr>
                  </w:pPr>
                  <w:r w:rsidRPr="00920905">
                    <w:rPr>
                      <w:rFonts w:cstheme="minorHAnsi"/>
                      <w:b/>
                    </w:rPr>
                    <w:t>Code</w:t>
                  </w:r>
                </w:p>
              </w:tc>
              <w:tc>
                <w:tcPr>
                  <w:tcW w:w="1764" w:type="pct"/>
                  <w:shd w:val="clear" w:color="auto" w:fill="D9D9D9" w:themeFill="background1" w:themeFillShade="D9"/>
                </w:tcPr>
                <w:p w14:paraId="4F8F40EB" w14:textId="77777777" w:rsidR="00124ABC" w:rsidRPr="00920905" w:rsidRDefault="00124ABC" w:rsidP="00124ABC">
                  <w:pPr>
                    <w:rPr>
                      <w:rFonts w:cstheme="minorHAnsi"/>
                      <w:b/>
                    </w:rPr>
                  </w:pPr>
                  <w:r>
                    <w:rPr>
                      <w:rFonts w:cstheme="minorHAnsi"/>
                      <w:b/>
                    </w:rPr>
                    <w:t>R</w:t>
                  </w:r>
                  <w:r w:rsidRPr="00920905">
                    <w:rPr>
                      <w:rFonts w:cstheme="minorHAnsi"/>
                      <w:b/>
                    </w:rPr>
                    <w:t>eference</w:t>
                  </w:r>
                </w:p>
              </w:tc>
              <w:tc>
                <w:tcPr>
                  <w:tcW w:w="2444" w:type="pct"/>
                  <w:shd w:val="clear" w:color="auto" w:fill="D9D9D9" w:themeFill="background1" w:themeFillShade="D9"/>
                </w:tcPr>
                <w:p w14:paraId="45BA5FD2" w14:textId="77777777" w:rsidR="00124ABC" w:rsidRPr="00920905" w:rsidRDefault="00124ABC" w:rsidP="00124ABC">
                  <w:pPr>
                    <w:rPr>
                      <w:rFonts w:cstheme="minorHAnsi"/>
                      <w:b/>
                    </w:rPr>
                  </w:pPr>
                  <w:r w:rsidRPr="00920905">
                    <w:rPr>
                      <w:rFonts w:cstheme="minorHAnsi"/>
                      <w:b/>
                    </w:rPr>
                    <w:t>Effective Date</w:t>
                  </w:r>
                  <w:r>
                    <w:rPr>
                      <w:rFonts w:cstheme="minorHAnsi"/>
                      <w:b/>
                    </w:rPr>
                    <w:t>s</w:t>
                  </w:r>
                </w:p>
              </w:tc>
            </w:tr>
            <w:tr w:rsidR="00124ABC" w:rsidRPr="00500C4E" w14:paraId="7F3938D6" w14:textId="77777777" w:rsidTr="00FA33A1">
              <w:trPr>
                <w:trHeight w:val="243"/>
              </w:trPr>
              <w:tc>
                <w:tcPr>
                  <w:tcW w:w="792" w:type="pct"/>
                </w:tcPr>
                <w:p w14:paraId="47FFD6F4" w14:textId="77777777" w:rsidR="00124ABC" w:rsidRPr="00500C4E" w:rsidRDefault="00124ABC" w:rsidP="00124ABC">
                  <w:pPr>
                    <w:rPr>
                      <w:rFonts w:cstheme="minorHAnsi"/>
                    </w:rPr>
                  </w:pPr>
                  <w:r>
                    <w:rPr>
                      <w:rFonts w:cstheme="minorHAnsi"/>
                    </w:rPr>
                    <w:t>Title 20 (2017</w:t>
                  </w:r>
                  <w:r w:rsidRPr="005220DD">
                    <w:rPr>
                      <w:rFonts w:cstheme="minorHAnsi"/>
                    </w:rPr>
                    <w:t>)</w:t>
                  </w:r>
                </w:p>
              </w:tc>
              <w:tc>
                <w:tcPr>
                  <w:tcW w:w="1764" w:type="pct"/>
                </w:tcPr>
                <w:p w14:paraId="3CE61932" w14:textId="77777777" w:rsidR="00124ABC" w:rsidRPr="00500C4E" w:rsidRDefault="00124ABC" w:rsidP="00124ABC">
                  <w:pPr>
                    <w:rPr>
                      <w:rFonts w:cstheme="minorHAnsi"/>
                      <w:color w:val="FF0000"/>
                    </w:rPr>
                  </w:pPr>
                  <w:r w:rsidRPr="005220DD">
                    <w:rPr>
                      <w:rFonts w:cstheme="minorHAnsi"/>
                    </w:rPr>
                    <w:t>Section 1605.1(h). Plumbing Fittings</w:t>
                  </w:r>
                </w:p>
              </w:tc>
              <w:tc>
                <w:tcPr>
                  <w:tcW w:w="2444" w:type="pct"/>
                </w:tcPr>
                <w:p w14:paraId="626162BC" w14:textId="77777777" w:rsidR="00124ABC" w:rsidRPr="00DE6662" w:rsidRDefault="00124ABC" w:rsidP="00124ABC">
                  <w:pPr>
                    <w:pStyle w:val="ListParagraph"/>
                    <w:numPr>
                      <w:ilvl w:val="0"/>
                      <w:numId w:val="30"/>
                    </w:numPr>
                    <w:ind w:left="250" w:hanging="180"/>
                    <w:rPr>
                      <w:rFonts w:cstheme="minorHAnsi"/>
                      <w:color w:val="FF0000"/>
                      <w:szCs w:val="20"/>
                    </w:rPr>
                  </w:pPr>
                  <w:r>
                    <w:rPr>
                      <w:rFonts w:cstheme="minorHAnsi"/>
                      <w:szCs w:val="20"/>
                    </w:rPr>
                    <w:t xml:space="preserve">Lavatory faucet and aerators: </w:t>
                  </w:r>
                  <w:r w:rsidRPr="00E2733F">
                    <w:rPr>
                      <w:rFonts w:cstheme="minorHAnsi"/>
                      <w:szCs w:val="20"/>
                    </w:rPr>
                    <w:t>July 1, 2016</w:t>
                  </w:r>
                </w:p>
                <w:p w14:paraId="4D15C2C1" w14:textId="77777777" w:rsidR="00124ABC" w:rsidRPr="00DE6662" w:rsidRDefault="00124ABC" w:rsidP="00124ABC">
                  <w:pPr>
                    <w:pStyle w:val="ListParagraph"/>
                    <w:numPr>
                      <w:ilvl w:val="0"/>
                      <w:numId w:val="30"/>
                    </w:numPr>
                    <w:ind w:left="250" w:hanging="180"/>
                    <w:rPr>
                      <w:rFonts w:cstheme="minorHAnsi"/>
                      <w:color w:val="FF0000"/>
                      <w:szCs w:val="20"/>
                    </w:rPr>
                  </w:pPr>
                  <w:r>
                    <w:rPr>
                      <w:rFonts w:cstheme="minorHAnsi"/>
                      <w:szCs w:val="20"/>
                    </w:rPr>
                    <w:t>Kitchen faucets and aerators: January 1, 2016</w:t>
                  </w:r>
                </w:p>
                <w:p w14:paraId="56DD34A3" w14:textId="77777777" w:rsidR="00124ABC" w:rsidRPr="00E2733F" w:rsidRDefault="00124ABC" w:rsidP="00124ABC">
                  <w:pPr>
                    <w:pStyle w:val="ListParagraph"/>
                    <w:numPr>
                      <w:ilvl w:val="0"/>
                      <w:numId w:val="30"/>
                    </w:numPr>
                    <w:ind w:left="250" w:hanging="180"/>
                    <w:rPr>
                      <w:rFonts w:cstheme="minorHAnsi"/>
                      <w:color w:val="FF0000"/>
                      <w:szCs w:val="20"/>
                    </w:rPr>
                  </w:pPr>
                  <w:r>
                    <w:rPr>
                      <w:rFonts w:cstheme="minorHAnsi"/>
                      <w:szCs w:val="20"/>
                    </w:rPr>
                    <w:t>Showerheads: July 1, 2018</w:t>
                  </w:r>
                </w:p>
              </w:tc>
            </w:tr>
          </w:tbl>
          <w:p w14:paraId="4F3244F3" w14:textId="77777777" w:rsidR="00990955" w:rsidRDefault="00990955" w:rsidP="005F021A">
            <w:pPr>
              <w:jc w:val="both"/>
              <w:rPr>
                <w:rFonts w:cs="Arial"/>
                <w:sz w:val="20"/>
                <w:szCs w:val="20"/>
              </w:rPr>
            </w:pPr>
          </w:p>
          <w:p w14:paraId="3343C9C1" w14:textId="1150434B" w:rsidR="00990955" w:rsidRPr="00653C4B" w:rsidRDefault="00990955" w:rsidP="005F021A">
            <w:pPr>
              <w:jc w:val="both"/>
              <w:rPr>
                <w:rFonts w:cs="Arial"/>
                <w:sz w:val="20"/>
                <w:szCs w:val="20"/>
              </w:rPr>
            </w:pPr>
          </w:p>
        </w:tc>
      </w:tr>
      <w:tr w:rsidR="005F021A" w14:paraId="6B1E00C2" w14:textId="77777777" w:rsidTr="00FF1E51">
        <w:trPr>
          <w:cantSplit/>
        </w:trPr>
        <w:tc>
          <w:tcPr>
            <w:tcW w:w="1901" w:type="dxa"/>
          </w:tcPr>
          <w:p w14:paraId="6C7C63DE" w14:textId="77777777" w:rsidR="005F021A" w:rsidRPr="001D77F7" w:rsidRDefault="005F021A" w:rsidP="005F021A">
            <w:pPr>
              <w:jc w:val="right"/>
              <w:rPr>
                <w:b/>
              </w:rPr>
            </w:pPr>
            <w:r w:rsidRPr="00197677">
              <w:rPr>
                <w:rFonts w:cs="Arial"/>
                <w:sz w:val="20"/>
                <w:szCs w:val="20"/>
              </w:rPr>
              <w:lastRenderedPageBreak/>
              <w:t>Requirements</w:t>
            </w:r>
          </w:p>
        </w:tc>
        <w:tc>
          <w:tcPr>
            <w:tcW w:w="9079" w:type="dxa"/>
          </w:tcPr>
          <w:p w14:paraId="6DAAE79E" w14:textId="04B18929" w:rsidR="00A52998" w:rsidRDefault="00A52998" w:rsidP="005F021A">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00D00FF6">
              <w:rPr>
                <w:sz w:val="20"/>
                <w:szCs w:val="20"/>
              </w:rPr>
              <w:t>WPSCGCCWH180504A Revision 0</w:t>
            </w:r>
            <w:r>
              <w:rPr>
                <w:sz w:val="20"/>
                <w:szCs w:val="20"/>
              </w:rPr>
              <w:t xml:space="preserve"> Section</w:t>
            </w:r>
            <w:r w:rsidRPr="004D4511">
              <w:rPr>
                <w:rFonts w:cstheme="minorHAnsi"/>
                <w:sz w:val="20"/>
                <w:szCs w:val="20"/>
              </w:rPr>
              <w:t xml:space="preserve"> </w:t>
            </w:r>
            <w:r>
              <w:rPr>
                <w:rFonts w:cstheme="minorHAnsi"/>
                <w:sz w:val="20"/>
                <w:szCs w:val="20"/>
              </w:rPr>
              <w:t>1.1 Measure Description &amp; Background.</w:t>
            </w:r>
          </w:p>
          <w:p w14:paraId="7645B42C" w14:textId="0C43BAF5" w:rsidR="005F021A" w:rsidRPr="00555671" w:rsidRDefault="005F021A" w:rsidP="005F021A">
            <w:pPr>
              <w:jc w:val="both"/>
              <w:rPr>
                <w:sz w:val="20"/>
                <w:szCs w:val="20"/>
              </w:rPr>
            </w:pPr>
          </w:p>
        </w:tc>
      </w:tr>
      <w:tr w:rsidR="005F021A" w14:paraId="759B9222" w14:textId="77777777" w:rsidTr="00FF1E51">
        <w:trPr>
          <w:cantSplit/>
        </w:trPr>
        <w:tc>
          <w:tcPr>
            <w:tcW w:w="1098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FF1E51">
        <w:trPr>
          <w:cantSplit/>
        </w:trPr>
        <w:tc>
          <w:tcPr>
            <w:tcW w:w="1901"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9079" w:type="dxa"/>
          </w:tcPr>
          <w:p w14:paraId="3CB39BAF" w14:textId="74FFC70C" w:rsidR="005F021A" w:rsidRPr="00F52060" w:rsidRDefault="00D00FF6" w:rsidP="005F021A">
            <w:pPr>
              <w:rPr>
                <w:rFonts w:cs="Arial"/>
                <w:sz w:val="20"/>
                <w:szCs w:val="20"/>
              </w:rPr>
            </w:pPr>
            <w:r>
              <w:rPr>
                <w:sz w:val="20"/>
                <w:szCs w:val="20"/>
              </w:rPr>
              <w:t>A</w:t>
            </w:r>
            <w:r w:rsidR="00AE4D93">
              <w:rPr>
                <w:sz w:val="20"/>
                <w:szCs w:val="20"/>
              </w:rPr>
              <w:t>O</w:t>
            </w:r>
            <w:r>
              <w:rPr>
                <w:sz w:val="20"/>
                <w:szCs w:val="20"/>
              </w:rPr>
              <w:t>E</w:t>
            </w:r>
          </w:p>
        </w:tc>
      </w:tr>
      <w:tr w:rsidR="005F021A" w14:paraId="7FC5D739" w14:textId="77777777" w:rsidTr="00FF1E51">
        <w:trPr>
          <w:cantSplit/>
        </w:trPr>
        <w:tc>
          <w:tcPr>
            <w:tcW w:w="1901"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9079" w:type="dxa"/>
          </w:tcPr>
          <w:p w14:paraId="720C5D8A" w14:textId="36986B28" w:rsidR="00A52998" w:rsidRPr="000E65D6" w:rsidRDefault="00A52998" w:rsidP="00A52998">
            <w:pPr>
              <w:jc w:val="both"/>
              <w:rPr>
                <w:rFonts w:cs="Arial"/>
                <w:sz w:val="20"/>
                <w:szCs w:val="20"/>
              </w:rPr>
            </w:pPr>
            <w:r>
              <w:rPr>
                <w:rFonts w:cs="Arial"/>
                <w:sz w:val="20"/>
                <w:szCs w:val="20"/>
              </w:rPr>
              <w:t xml:space="preserve">Please reference </w:t>
            </w:r>
            <w:r w:rsidR="00D00FF6">
              <w:rPr>
                <w:sz w:val="20"/>
                <w:szCs w:val="20"/>
              </w:rPr>
              <w:t>WPSCGCCWH180504A Revision 0</w:t>
            </w:r>
            <w:r w:rsidR="008631AA">
              <w:rPr>
                <w:sz w:val="20"/>
                <w:szCs w:val="20"/>
              </w:rPr>
              <w:t xml:space="preserve"> </w:t>
            </w:r>
            <w:r>
              <w:rPr>
                <w:sz w:val="20"/>
                <w:szCs w:val="20"/>
              </w:rPr>
              <w:t>Section 1.3 Installation Type and Delivery Mechanisms</w:t>
            </w:r>
          </w:p>
          <w:p w14:paraId="274A3B51" w14:textId="77777777" w:rsidR="005F021A" w:rsidRDefault="005F021A" w:rsidP="005F021A">
            <w:pPr>
              <w:rPr>
                <w:rFonts w:cs="Arial"/>
                <w:sz w:val="20"/>
                <w:szCs w:val="20"/>
              </w:rPr>
            </w:pPr>
          </w:p>
          <w:p w14:paraId="71478836" w14:textId="77777777" w:rsidR="009B0B5F" w:rsidRDefault="009B0B5F" w:rsidP="009B0B5F">
            <w:pPr>
              <w:pStyle w:val="Caption"/>
              <w:keepNext/>
            </w:pPr>
            <w:r w:rsidRPr="00FF27FD">
              <w:t>Delivery Method Descriptions</w:t>
            </w:r>
          </w:p>
          <w:tbl>
            <w:tblPr>
              <w:tblStyle w:val="TableGrid1"/>
              <w:tblW w:w="8245" w:type="dxa"/>
              <w:tblLayout w:type="fixed"/>
              <w:tblLook w:val="04A0" w:firstRow="1" w:lastRow="0" w:firstColumn="1" w:lastColumn="0" w:noHBand="0" w:noVBand="1"/>
            </w:tblPr>
            <w:tblGrid>
              <w:gridCol w:w="1703"/>
              <w:gridCol w:w="4832"/>
              <w:gridCol w:w="1710"/>
            </w:tblGrid>
            <w:tr w:rsidR="006576E4" w:rsidRPr="00A3164A" w14:paraId="01504701" w14:textId="151BC391" w:rsidTr="00D54EC4">
              <w:tc>
                <w:tcPr>
                  <w:tcW w:w="1033" w:type="pct"/>
                  <w:shd w:val="clear" w:color="auto" w:fill="D9D9D9" w:themeFill="background1" w:themeFillShade="D9"/>
                </w:tcPr>
                <w:p w14:paraId="60417CD2" w14:textId="77777777" w:rsidR="006576E4" w:rsidRPr="00920905" w:rsidRDefault="006576E4" w:rsidP="009B0B5F">
                  <w:pPr>
                    <w:rPr>
                      <w:b/>
                      <w:sz w:val="18"/>
                      <w:szCs w:val="18"/>
                    </w:rPr>
                  </w:pPr>
                  <w:r w:rsidRPr="00920905">
                    <w:rPr>
                      <w:b/>
                      <w:sz w:val="18"/>
                      <w:szCs w:val="18"/>
                    </w:rPr>
                    <w:t>Incentive Method</w:t>
                  </w:r>
                </w:p>
              </w:tc>
              <w:tc>
                <w:tcPr>
                  <w:tcW w:w="2930" w:type="pct"/>
                  <w:shd w:val="clear" w:color="auto" w:fill="D9D9D9" w:themeFill="background1" w:themeFillShade="D9"/>
                </w:tcPr>
                <w:p w14:paraId="4B5E7235" w14:textId="77777777" w:rsidR="006576E4" w:rsidRPr="00920905" w:rsidRDefault="006576E4" w:rsidP="009B0B5F">
                  <w:pPr>
                    <w:rPr>
                      <w:b/>
                      <w:sz w:val="18"/>
                      <w:szCs w:val="18"/>
                    </w:rPr>
                  </w:pPr>
                  <w:r w:rsidRPr="00920905">
                    <w:rPr>
                      <w:b/>
                      <w:sz w:val="18"/>
                      <w:szCs w:val="18"/>
                    </w:rPr>
                    <w:t>Description</w:t>
                  </w:r>
                </w:p>
              </w:tc>
              <w:tc>
                <w:tcPr>
                  <w:tcW w:w="1037" w:type="pct"/>
                  <w:shd w:val="clear" w:color="auto" w:fill="D9D9D9" w:themeFill="background1" w:themeFillShade="D9"/>
                </w:tcPr>
                <w:p w14:paraId="652A51F6" w14:textId="7AE29473" w:rsidR="006576E4" w:rsidRPr="00920905" w:rsidRDefault="00FF1E51" w:rsidP="009B0B5F">
                  <w:pPr>
                    <w:rPr>
                      <w:b/>
                      <w:sz w:val="18"/>
                      <w:szCs w:val="18"/>
                    </w:rPr>
                  </w:pPr>
                  <w:r>
                    <w:rPr>
                      <w:b/>
                      <w:sz w:val="18"/>
                      <w:szCs w:val="18"/>
                    </w:rPr>
                    <w:t>DEER Delivery Type</w:t>
                  </w:r>
                </w:p>
              </w:tc>
            </w:tr>
            <w:tr w:rsidR="006576E4" w:rsidRPr="00A3164A" w14:paraId="7D3FF111" w14:textId="5D25A009" w:rsidTr="00D54EC4">
              <w:tc>
                <w:tcPr>
                  <w:tcW w:w="1033" w:type="pct"/>
                </w:tcPr>
                <w:p w14:paraId="7FC0AC7A" w14:textId="77777777" w:rsidR="006576E4" w:rsidRPr="00920905" w:rsidRDefault="006576E4" w:rsidP="009B0B5F">
                  <w:pPr>
                    <w:autoSpaceDE w:val="0"/>
                    <w:autoSpaceDN w:val="0"/>
                    <w:adjustRightInd w:val="0"/>
                    <w:spacing w:line="240" w:lineRule="atLeast"/>
                    <w:rPr>
                      <w:sz w:val="18"/>
                      <w:szCs w:val="18"/>
                    </w:rPr>
                  </w:pPr>
                  <w:r w:rsidRPr="00302CCC">
                    <w:rPr>
                      <w:rFonts w:cs="Helv"/>
                      <w:sz w:val="18"/>
                      <w:szCs w:val="18"/>
                    </w:rPr>
                    <w:t>Direct Install</w:t>
                  </w:r>
                </w:p>
              </w:tc>
              <w:tc>
                <w:tcPr>
                  <w:tcW w:w="2930" w:type="pct"/>
                </w:tcPr>
                <w:p w14:paraId="1DA5D097" w14:textId="77777777" w:rsidR="006576E4" w:rsidRPr="00920905" w:rsidRDefault="006576E4" w:rsidP="009B0B5F">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c>
                <w:tcPr>
                  <w:tcW w:w="1037" w:type="pct"/>
                </w:tcPr>
                <w:p w14:paraId="141B6727" w14:textId="77777777" w:rsidR="006576E4" w:rsidRDefault="006576E4" w:rsidP="009B0B5F">
                  <w:pPr>
                    <w:autoSpaceDE w:val="0"/>
                    <w:autoSpaceDN w:val="0"/>
                    <w:adjustRightInd w:val="0"/>
                    <w:rPr>
                      <w:rFonts w:cs="Helv"/>
                      <w:sz w:val="18"/>
                      <w:szCs w:val="18"/>
                    </w:rPr>
                  </w:pPr>
                </w:p>
                <w:p w14:paraId="077950B7" w14:textId="1518238C" w:rsidR="00FF1E51" w:rsidRPr="00920905" w:rsidRDefault="00D54EC4" w:rsidP="009B0B5F">
                  <w:pPr>
                    <w:autoSpaceDE w:val="0"/>
                    <w:autoSpaceDN w:val="0"/>
                    <w:adjustRightInd w:val="0"/>
                    <w:rPr>
                      <w:rFonts w:cs="Helv"/>
                      <w:sz w:val="18"/>
                      <w:szCs w:val="18"/>
                    </w:rPr>
                  </w:pPr>
                  <w:proofErr w:type="spellStart"/>
                  <w:r w:rsidRPr="00D54EC4">
                    <w:rPr>
                      <w:rFonts w:cs="Helv"/>
                      <w:sz w:val="18"/>
                      <w:szCs w:val="18"/>
                    </w:rPr>
                    <w:t>DnDeemDI</w:t>
                  </w:r>
                  <w:proofErr w:type="spellEnd"/>
                </w:p>
              </w:tc>
            </w:tr>
            <w:tr w:rsidR="006576E4" w:rsidRPr="00A3164A" w14:paraId="118B5BBC" w14:textId="2B03B4A9" w:rsidTr="00D54EC4">
              <w:tc>
                <w:tcPr>
                  <w:tcW w:w="1033" w:type="pct"/>
                </w:tcPr>
                <w:p w14:paraId="19100C91" w14:textId="77777777" w:rsidR="006576E4" w:rsidRPr="00920905" w:rsidRDefault="006576E4" w:rsidP="009B0B5F">
                  <w:pPr>
                    <w:autoSpaceDE w:val="0"/>
                    <w:autoSpaceDN w:val="0"/>
                    <w:adjustRightInd w:val="0"/>
                    <w:spacing w:line="240" w:lineRule="atLeast"/>
                    <w:rPr>
                      <w:sz w:val="18"/>
                      <w:szCs w:val="18"/>
                    </w:rPr>
                  </w:pPr>
                  <w:r w:rsidRPr="00302CCC">
                    <w:rPr>
                      <w:rFonts w:cs="Helv"/>
                      <w:sz w:val="18"/>
                      <w:szCs w:val="18"/>
                    </w:rPr>
                    <w:t>Down-Stream Incentive</w:t>
                  </w:r>
                </w:p>
              </w:tc>
              <w:tc>
                <w:tcPr>
                  <w:tcW w:w="2930" w:type="pct"/>
                </w:tcPr>
                <w:p w14:paraId="17BEE607" w14:textId="77777777" w:rsidR="006576E4" w:rsidRPr="00920905" w:rsidRDefault="006576E4" w:rsidP="009B0B5F">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c>
                <w:tcPr>
                  <w:tcW w:w="1037" w:type="pct"/>
                </w:tcPr>
                <w:p w14:paraId="14884090" w14:textId="77777777" w:rsidR="006576E4" w:rsidRDefault="006576E4" w:rsidP="009B0B5F">
                  <w:pPr>
                    <w:autoSpaceDE w:val="0"/>
                    <w:autoSpaceDN w:val="0"/>
                    <w:adjustRightInd w:val="0"/>
                    <w:spacing w:line="240" w:lineRule="atLeast"/>
                    <w:rPr>
                      <w:rFonts w:cs="Helv"/>
                      <w:sz w:val="18"/>
                      <w:szCs w:val="18"/>
                    </w:rPr>
                  </w:pPr>
                </w:p>
                <w:p w14:paraId="483680C0" w14:textId="72FB357B" w:rsidR="00156B93" w:rsidRPr="00920905" w:rsidRDefault="00EC2ECD" w:rsidP="009B0B5F">
                  <w:pPr>
                    <w:autoSpaceDE w:val="0"/>
                    <w:autoSpaceDN w:val="0"/>
                    <w:adjustRightInd w:val="0"/>
                    <w:spacing w:line="240" w:lineRule="atLeast"/>
                    <w:rPr>
                      <w:rFonts w:cs="Helv"/>
                      <w:sz w:val="18"/>
                      <w:szCs w:val="18"/>
                    </w:rPr>
                  </w:pPr>
                  <w:proofErr w:type="spellStart"/>
                  <w:r w:rsidRPr="00EC2ECD">
                    <w:rPr>
                      <w:rFonts w:cs="Helv"/>
                      <w:sz w:val="18"/>
                      <w:szCs w:val="18"/>
                    </w:rPr>
                    <w:t>DnDeemed</w:t>
                  </w:r>
                  <w:proofErr w:type="spellEnd"/>
                </w:p>
              </w:tc>
            </w:tr>
          </w:tbl>
          <w:p w14:paraId="6485E598" w14:textId="298325B4" w:rsidR="00124ABC" w:rsidRPr="00FE636E" w:rsidRDefault="00124ABC" w:rsidP="005F021A">
            <w:pPr>
              <w:rPr>
                <w:rFonts w:cs="Arial"/>
                <w:sz w:val="20"/>
                <w:szCs w:val="20"/>
              </w:rPr>
            </w:pPr>
          </w:p>
        </w:tc>
      </w:tr>
      <w:tr w:rsidR="005F021A" w14:paraId="7167182E" w14:textId="77777777" w:rsidTr="00FF1E51">
        <w:trPr>
          <w:cantSplit/>
        </w:trPr>
        <w:tc>
          <w:tcPr>
            <w:tcW w:w="10980" w:type="dxa"/>
            <w:gridSpan w:val="2"/>
          </w:tcPr>
          <w:p w14:paraId="63DEB232" w14:textId="54547A9F" w:rsidR="005F021A" w:rsidRDefault="00677A43" w:rsidP="005F021A">
            <w:r>
              <w:rPr>
                <w:b/>
              </w:rPr>
              <w:t>1.4</w:t>
            </w:r>
            <w:r w:rsidR="005F021A" w:rsidRPr="001D77F7">
              <w:rPr>
                <w:b/>
              </w:rPr>
              <w:t xml:space="preserve"> DEER Data</w:t>
            </w:r>
          </w:p>
        </w:tc>
      </w:tr>
      <w:tr w:rsidR="005F021A" w14:paraId="066131AC" w14:textId="77777777" w:rsidTr="00FF1E51">
        <w:trPr>
          <w:cantSplit/>
        </w:trPr>
        <w:tc>
          <w:tcPr>
            <w:tcW w:w="1901"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9079" w:type="dxa"/>
          </w:tcPr>
          <w:p w14:paraId="02AA52B5" w14:textId="7E1190BA" w:rsidR="00677A43" w:rsidRDefault="00677A43" w:rsidP="00677A43">
            <w:pPr>
              <w:jc w:val="both"/>
              <w:rPr>
                <w:sz w:val="20"/>
                <w:szCs w:val="20"/>
              </w:rPr>
            </w:pPr>
            <w:r>
              <w:rPr>
                <w:rFonts w:cs="Arial"/>
                <w:sz w:val="20"/>
                <w:szCs w:val="20"/>
              </w:rPr>
              <w:t xml:space="preserve">Please reference </w:t>
            </w:r>
            <w:r w:rsidR="00D00FF6">
              <w:rPr>
                <w:sz w:val="20"/>
                <w:szCs w:val="20"/>
              </w:rPr>
              <w:t>WPSCGCCWH180504A Revision 0</w:t>
            </w:r>
            <w:r w:rsidR="006D100F">
              <w:rPr>
                <w:sz w:val="20"/>
                <w:szCs w:val="20"/>
              </w:rPr>
              <w:t xml:space="preserve"> </w:t>
            </w:r>
            <w:r>
              <w:rPr>
                <w:sz w:val="20"/>
                <w:szCs w:val="20"/>
              </w:rPr>
              <w:t>Section 1.4.1 DEER Data</w:t>
            </w:r>
          </w:p>
          <w:p w14:paraId="02EA2908" w14:textId="77777777" w:rsidR="008E16E9" w:rsidRDefault="008E16E9" w:rsidP="00677A43">
            <w:pPr>
              <w:jc w:val="both"/>
              <w:rPr>
                <w:sz w:val="20"/>
                <w:szCs w:val="20"/>
              </w:rPr>
            </w:pPr>
          </w:p>
          <w:p w14:paraId="42F4E30C" w14:textId="77777777" w:rsidR="008E16E9" w:rsidRDefault="00597853" w:rsidP="00677A43">
            <w:pPr>
              <w:jc w:val="both"/>
              <w:rPr>
                <w:rFonts w:cs="Arial"/>
                <w:sz w:val="20"/>
                <w:szCs w:val="20"/>
              </w:rPr>
            </w:pPr>
            <w:r>
              <w:rPr>
                <w:rFonts w:cs="Arial"/>
                <w:sz w:val="20"/>
                <w:szCs w:val="20"/>
              </w:rPr>
              <w:t xml:space="preserve">DEER NTG ID: </w:t>
            </w:r>
          </w:p>
          <w:p w14:paraId="05244664" w14:textId="6C34DC50" w:rsidR="00063E35" w:rsidRPr="000E65D6" w:rsidRDefault="005D1858" w:rsidP="00677A43">
            <w:pPr>
              <w:jc w:val="both"/>
              <w:rPr>
                <w:rFonts w:cs="Arial"/>
                <w:sz w:val="20"/>
                <w:szCs w:val="20"/>
              </w:rPr>
            </w:pPr>
            <w:r>
              <w:rPr>
                <w:rFonts w:cs="Arial"/>
                <w:sz w:val="20"/>
                <w:szCs w:val="20"/>
              </w:rPr>
              <w:t>All-Default&lt;=2yrs</w:t>
            </w:r>
            <w:r w:rsidR="00EA6DCC">
              <w:rPr>
                <w:rFonts w:cs="Arial"/>
                <w:sz w:val="20"/>
                <w:szCs w:val="20"/>
              </w:rPr>
              <w:t xml:space="preserve">; </w:t>
            </w:r>
            <w:r w:rsidR="008E16E9">
              <w:rPr>
                <w:szCs w:val="20"/>
              </w:rPr>
              <w:t>All other EEM with no evaluated NTGR; new technology in program for 2 or fewer years</w:t>
            </w:r>
          </w:p>
          <w:p w14:paraId="09D68962" w14:textId="77777777" w:rsidR="005F021A" w:rsidRPr="00D86243" w:rsidRDefault="005F021A" w:rsidP="005F021A">
            <w:pPr>
              <w:tabs>
                <w:tab w:val="right" w:pos="6732"/>
              </w:tabs>
              <w:rPr>
                <w:rFonts w:cs="Arial"/>
                <w:sz w:val="20"/>
                <w:szCs w:val="20"/>
              </w:rPr>
            </w:pPr>
          </w:p>
        </w:tc>
      </w:tr>
      <w:tr w:rsidR="005F021A" w14:paraId="23763F29" w14:textId="77777777" w:rsidTr="00FF1E51">
        <w:trPr>
          <w:cantSplit/>
          <w:trHeight w:val="845"/>
        </w:trPr>
        <w:tc>
          <w:tcPr>
            <w:tcW w:w="1901" w:type="dxa"/>
            <w:vAlign w:val="center"/>
          </w:tcPr>
          <w:p w14:paraId="59BB4862" w14:textId="77777777" w:rsidR="005F021A" w:rsidRPr="00822B6F" w:rsidRDefault="005F021A" w:rsidP="005F021A">
            <w:pPr>
              <w:jc w:val="right"/>
              <w:rPr>
                <w:sz w:val="20"/>
                <w:szCs w:val="20"/>
              </w:rPr>
            </w:pPr>
            <w:r w:rsidRPr="00822B6F">
              <w:rPr>
                <w:sz w:val="20"/>
                <w:szCs w:val="20"/>
              </w:rPr>
              <w:t>Effective and Remaining Useful Life</w:t>
            </w:r>
          </w:p>
        </w:tc>
        <w:tc>
          <w:tcPr>
            <w:tcW w:w="9079" w:type="dxa"/>
          </w:tcPr>
          <w:p w14:paraId="6C5AC123" w14:textId="2312B841" w:rsidR="00677A43" w:rsidRPr="000E65D6" w:rsidRDefault="00677A43" w:rsidP="00677A43">
            <w:pPr>
              <w:jc w:val="both"/>
              <w:rPr>
                <w:rFonts w:cs="Arial"/>
                <w:sz w:val="20"/>
                <w:szCs w:val="20"/>
              </w:rPr>
            </w:pPr>
            <w:r>
              <w:rPr>
                <w:rFonts w:cs="Arial"/>
                <w:sz w:val="20"/>
                <w:szCs w:val="20"/>
              </w:rPr>
              <w:t xml:space="preserve">Please reference </w:t>
            </w:r>
            <w:r w:rsidR="00D00FF6">
              <w:rPr>
                <w:sz w:val="20"/>
                <w:szCs w:val="20"/>
              </w:rPr>
              <w:t>WPSCGCCWH180504A Revision 0</w:t>
            </w:r>
            <w:r w:rsidR="006D100F">
              <w:rPr>
                <w:sz w:val="20"/>
                <w:szCs w:val="20"/>
              </w:rPr>
              <w:t xml:space="preserve"> </w:t>
            </w:r>
            <w:r>
              <w:rPr>
                <w:sz w:val="20"/>
                <w:szCs w:val="20"/>
              </w:rPr>
              <w:t>Section 1.4.1 DEER Data</w:t>
            </w:r>
          </w:p>
          <w:p w14:paraId="55AC2A17" w14:textId="77777777" w:rsidR="005F021A" w:rsidRDefault="005F021A" w:rsidP="005F021A">
            <w:pPr>
              <w:tabs>
                <w:tab w:val="right" w:pos="6732"/>
              </w:tabs>
              <w:rPr>
                <w:rFonts w:cs="Arial"/>
                <w:sz w:val="20"/>
                <w:szCs w:val="20"/>
              </w:rPr>
            </w:pPr>
          </w:p>
          <w:tbl>
            <w:tblPr>
              <w:tblStyle w:val="TableGrid"/>
              <w:tblW w:w="0" w:type="auto"/>
              <w:tblLayout w:type="fixed"/>
              <w:tblLook w:val="04A0" w:firstRow="1" w:lastRow="0" w:firstColumn="1" w:lastColumn="0" w:noHBand="0" w:noVBand="1"/>
            </w:tblPr>
            <w:tblGrid>
              <w:gridCol w:w="1675"/>
              <w:gridCol w:w="2070"/>
              <w:gridCol w:w="1710"/>
              <w:gridCol w:w="1080"/>
              <w:gridCol w:w="990"/>
              <w:gridCol w:w="1170"/>
            </w:tblGrid>
            <w:tr w:rsidR="00504769" w14:paraId="6B19139E" w14:textId="47204139" w:rsidTr="007F3796">
              <w:tc>
                <w:tcPr>
                  <w:tcW w:w="1675" w:type="dxa"/>
                </w:tcPr>
                <w:p w14:paraId="4BF9FB79" w14:textId="6E0D029A" w:rsidR="00504769" w:rsidRDefault="00504769" w:rsidP="005F021A">
                  <w:pPr>
                    <w:tabs>
                      <w:tab w:val="right" w:pos="6732"/>
                    </w:tabs>
                    <w:rPr>
                      <w:rFonts w:cs="Arial"/>
                      <w:sz w:val="20"/>
                      <w:szCs w:val="20"/>
                    </w:rPr>
                  </w:pPr>
                  <w:r>
                    <w:rPr>
                      <w:rFonts w:cs="Arial"/>
                      <w:sz w:val="20"/>
                      <w:szCs w:val="20"/>
                    </w:rPr>
                    <w:t>Measure</w:t>
                  </w:r>
                </w:p>
              </w:tc>
              <w:tc>
                <w:tcPr>
                  <w:tcW w:w="2070" w:type="dxa"/>
                </w:tcPr>
                <w:p w14:paraId="503140CE" w14:textId="47007673" w:rsidR="00504769" w:rsidRDefault="00504769" w:rsidP="005F021A">
                  <w:pPr>
                    <w:tabs>
                      <w:tab w:val="right" w:pos="6732"/>
                    </w:tabs>
                    <w:rPr>
                      <w:rFonts w:cs="Arial"/>
                      <w:sz w:val="20"/>
                      <w:szCs w:val="20"/>
                    </w:rPr>
                  </w:pPr>
                  <w:r>
                    <w:rPr>
                      <w:rFonts w:cs="Arial"/>
                      <w:sz w:val="20"/>
                      <w:szCs w:val="20"/>
                    </w:rPr>
                    <w:t>EUL ID</w:t>
                  </w:r>
                </w:p>
              </w:tc>
              <w:tc>
                <w:tcPr>
                  <w:tcW w:w="1710" w:type="dxa"/>
                </w:tcPr>
                <w:p w14:paraId="0C9007D0" w14:textId="50437804" w:rsidR="00504769" w:rsidRDefault="00504769" w:rsidP="005F021A">
                  <w:pPr>
                    <w:tabs>
                      <w:tab w:val="right" w:pos="6732"/>
                    </w:tabs>
                    <w:rPr>
                      <w:rFonts w:cs="Arial"/>
                      <w:sz w:val="20"/>
                      <w:szCs w:val="20"/>
                    </w:rPr>
                  </w:pPr>
                  <w:r>
                    <w:rPr>
                      <w:rFonts w:cs="Arial"/>
                      <w:sz w:val="20"/>
                      <w:szCs w:val="20"/>
                    </w:rPr>
                    <w:t>Description</w:t>
                  </w:r>
                </w:p>
              </w:tc>
              <w:tc>
                <w:tcPr>
                  <w:tcW w:w="1080" w:type="dxa"/>
                </w:tcPr>
                <w:p w14:paraId="0C887C66" w14:textId="112274AA" w:rsidR="00504769" w:rsidRDefault="00504769" w:rsidP="005F021A">
                  <w:pPr>
                    <w:tabs>
                      <w:tab w:val="right" w:pos="6732"/>
                    </w:tabs>
                    <w:rPr>
                      <w:rFonts w:cs="Arial"/>
                      <w:sz w:val="20"/>
                      <w:szCs w:val="20"/>
                    </w:rPr>
                  </w:pPr>
                  <w:r>
                    <w:rPr>
                      <w:rFonts w:cs="Arial"/>
                      <w:sz w:val="20"/>
                      <w:szCs w:val="20"/>
                    </w:rPr>
                    <w:t>Sector</w:t>
                  </w:r>
                </w:p>
              </w:tc>
              <w:tc>
                <w:tcPr>
                  <w:tcW w:w="990" w:type="dxa"/>
                </w:tcPr>
                <w:p w14:paraId="59441CB5" w14:textId="26D730DD" w:rsidR="00504769" w:rsidRDefault="00504769" w:rsidP="005F021A">
                  <w:pPr>
                    <w:tabs>
                      <w:tab w:val="right" w:pos="6732"/>
                    </w:tabs>
                    <w:rPr>
                      <w:rFonts w:cs="Arial"/>
                      <w:sz w:val="20"/>
                      <w:szCs w:val="20"/>
                    </w:rPr>
                  </w:pPr>
                  <w:r>
                    <w:rPr>
                      <w:rFonts w:cs="Arial"/>
                      <w:sz w:val="20"/>
                      <w:szCs w:val="20"/>
                    </w:rPr>
                    <w:t>EUL (years)</w:t>
                  </w:r>
                </w:p>
              </w:tc>
              <w:tc>
                <w:tcPr>
                  <w:tcW w:w="1170" w:type="dxa"/>
                </w:tcPr>
                <w:p w14:paraId="3B72FD47" w14:textId="78065AD2" w:rsidR="00504769" w:rsidRDefault="00504769" w:rsidP="005F021A">
                  <w:pPr>
                    <w:tabs>
                      <w:tab w:val="right" w:pos="6732"/>
                    </w:tabs>
                    <w:rPr>
                      <w:rFonts w:cs="Arial"/>
                      <w:sz w:val="20"/>
                      <w:szCs w:val="20"/>
                    </w:rPr>
                  </w:pPr>
                  <w:r>
                    <w:rPr>
                      <w:rFonts w:cs="Arial"/>
                      <w:sz w:val="20"/>
                      <w:szCs w:val="20"/>
                    </w:rPr>
                    <w:t>RUL (years)</w:t>
                  </w:r>
                </w:p>
              </w:tc>
            </w:tr>
            <w:tr w:rsidR="007F3796" w14:paraId="1BF40979" w14:textId="7307C7C6" w:rsidTr="007F3796">
              <w:tc>
                <w:tcPr>
                  <w:tcW w:w="1675" w:type="dxa"/>
                </w:tcPr>
                <w:p w14:paraId="3C1287F0" w14:textId="606C0574" w:rsidR="007F3796" w:rsidRDefault="007F3796" w:rsidP="007F3796">
                  <w:pPr>
                    <w:tabs>
                      <w:tab w:val="right" w:pos="6732"/>
                    </w:tabs>
                    <w:rPr>
                      <w:rFonts w:cs="Arial"/>
                      <w:sz w:val="20"/>
                      <w:szCs w:val="20"/>
                    </w:rPr>
                  </w:pPr>
                  <w:r>
                    <w:rPr>
                      <w:szCs w:val="20"/>
                    </w:rPr>
                    <w:t xml:space="preserve">FCV: </w:t>
                  </w:r>
                  <w:r w:rsidRPr="00D51992">
                    <w:rPr>
                      <w:szCs w:val="20"/>
                    </w:rPr>
                    <w:t xml:space="preserve"> Showerhead</w:t>
                  </w:r>
                </w:p>
              </w:tc>
              <w:tc>
                <w:tcPr>
                  <w:tcW w:w="2070" w:type="dxa"/>
                </w:tcPr>
                <w:p w14:paraId="2DF5DFA0" w14:textId="2B1A1AB1" w:rsidR="007F3796" w:rsidRDefault="007F3796" w:rsidP="007F3796">
                  <w:pPr>
                    <w:tabs>
                      <w:tab w:val="right" w:pos="6732"/>
                    </w:tabs>
                    <w:rPr>
                      <w:rFonts w:cs="Arial"/>
                      <w:sz w:val="20"/>
                      <w:szCs w:val="20"/>
                    </w:rPr>
                  </w:pPr>
                  <w:proofErr w:type="spellStart"/>
                  <w:r w:rsidRPr="002E5766">
                    <w:rPr>
                      <w:szCs w:val="20"/>
                    </w:rPr>
                    <w:t>WtrHt</w:t>
                  </w:r>
                  <w:proofErr w:type="spellEnd"/>
                  <w:r w:rsidRPr="002E5766">
                    <w:rPr>
                      <w:szCs w:val="20"/>
                    </w:rPr>
                    <w:t>-WH-</w:t>
                  </w:r>
                  <w:proofErr w:type="spellStart"/>
                  <w:r w:rsidRPr="002E5766">
                    <w:rPr>
                      <w:szCs w:val="20"/>
                    </w:rPr>
                    <w:t>Shrhd</w:t>
                  </w:r>
                  <w:proofErr w:type="spellEnd"/>
                </w:p>
              </w:tc>
              <w:tc>
                <w:tcPr>
                  <w:tcW w:w="1710" w:type="dxa"/>
                </w:tcPr>
                <w:p w14:paraId="4C90C402" w14:textId="237ED331" w:rsidR="007F3796" w:rsidRDefault="007F3796" w:rsidP="007F3796">
                  <w:pPr>
                    <w:tabs>
                      <w:tab w:val="right" w:pos="6732"/>
                    </w:tabs>
                    <w:rPr>
                      <w:rFonts w:cs="Arial"/>
                      <w:sz w:val="20"/>
                      <w:szCs w:val="20"/>
                    </w:rPr>
                  </w:pPr>
                  <w:r w:rsidRPr="002E5766">
                    <w:rPr>
                      <w:szCs w:val="20"/>
                    </w:rPr>
                    <w:t>Low-Flow Showerhead</w:t>
                  </w:r>
                </w:p>
              </w:tc>
              <w:tc>
                <w:tcPr>
                  <w:tcW w:w="1080" w:type="dxa"/>
                </w:tcPr>
                <w:p w14:paraId="68BC541F" w14:textId="5378BEF0" w:rsidR="007F3796" w:rsidRDefault="007F3796" w:rsidP="007F3796">
                  <w:pPr>
                    <w:tabs>
                      <w:tab w:val="right" w:pos="6732"/>
                    </w:tabs>
                    <w:rPr>
                      <w:rFonts w:cs="Arial"/>
                      <w:sz w:val="20"/>
                      <w:szCs w:val="20"/>
                    </w:rPr>
                  </w:pPr>
                  <w:r w:rsidRPr="002E5766">
                    <w:rPr>
                      <w:szCs w:val="20"/>
                    </w:rPr>
                    <w:t>Com</w:t>
                  </w:r>
                  <w:r>
                    <w:rPr>
                      <w:szCs w:val="20"/>
                    </w:rPr>
                    <w:t xml:space="preserve"> /Res</w:t>
                  </w:r>
                </w:p>
              </w:tc>
              <w:tc>
                <w:tcPr>
                  <w:tcW w:w="990" w:type="dxa"/>
                </w:tcPr>
                <w:p w14:paraId="1A2B75EE" w14:textId="4F9E290D" w:rsidR="007F3796" w:rsidRDefault="007F3796" w:rsidP="007F3796">
                  <w:pPr>
                    <w:tabs>
                      <w:tab w:val="right" w:pos="6732"/>
                    </w:tabs>
                    <w:rPr>
                      <w:rFonts w:cs="Arial"/>
                      <w:sz w:val="20"/>
                      <w:szCs w:val="20"/>
                    </w:rPr>
                  </w:pPr>
                  <w:r>
                    <w:rPr>
                      <w:rFonts w:cs="Arial"/>
                      <w:sz w:val="20"/>
                      <w:szCs w:val="20"/>
                    </w:rPr>
                    <w:t>10</w:t>
                  </w:r>
                </w:p>
              </w:tc>
              <w:tc>
                <w:tcPr>
                  <w:tcW w:w="1170" w:type="dxa"/>
                </w:tcPr>
                <w:p w14:paraId="0C87F1F7" w14:textId="7BD2C94E" w:rsidR="007F3796" w:rsidRDefault="007F3796" w:rsidP="007F3796">
                  <w:pPr>
                    <w:tabs>
                      <w:tab w:val="right" w:pos="6732"/>
                    </w:tabs>
                    <w:rPr>
                      <w:rFonts w:cs="Arial"/>
                      <w:sz w:val="20"/>
                      <w:szCs w:val="20"/>
                    </w:rPr>
                  </w:pPr>
                  <w:r>
                    <w:rPr>
                      <w:rFonts w:cs="Arial"/>
                      <w:sz w:val="20"/>
                      <w:szCs w:val="20"/>
                    </w:rPr>
                    <w:t>3.3</w:t>
                  </w:r>
                </w:p>
              </w:tc>
            </w:tr>
            <w:tr w:rsidR="007F3796" w14:paraId="2074E83E" w14:textId="0FE8D50F" w:rsidTr="007F3796">
              <w:tc>
                <w:tcPr>
                  <w:tcW w:w="1675" w:type="dxa"/>
                </w:tcPr>
                <w:p w14:paraId="711E2929" w14:textId="5A41E99C" w:rsidR="007F3796" w:rsidRDefault="007F3796" w:rsidP="007F3796">
                  <w:pPr>
                    <w:tabs>
                      <w:tab w:val="right" w:pos="6732"/>
                    </w:tabs>
                    <w:rPr>
                      <w:rFonts w:cs="Arial"/>
                      <w:sz w:val="20"/>
                      <w:szCs w:val="20"/>
                    </w:rPr>
                  </w:pPr>
                  <w:r>
                    <w:rPr>
                      <w:szCs w:val="20"/>
                    </w:rPr>
                    <w:t xml:space="preserve">FCV: </w:t>
                  </w:r>
                  <w:r w:rsidRPr="00D51992">
                    <w:rPr>
                      <w:szCs w:val="20"/>
                    </w:rPr>
                    <w:t>Faucets</w:t>
                  </w:r>
                </w:p>
              </w:tc>
              <w:tc>
                <w:tcPr>
                  <w:tcW w:w="2070" w:type="dxa"/>
                </w:tcPr>
                <w:p w14:paraId="2D1E0D18" w14:textId="2DABD925" w:rsidR="007F3796" w:rsidRDefault="007F3796" w:rsidP="007F3796">
                  <w:pPr>
                    <w:tabs>
                      <w:tab w:val="right" w:pos="6732"/>
                    </w:tabs>
                    <w:rPr>
                      <w:rFonts w:cs="Arial"/>
                      <w:sz w:val="20"/>
                      <w:szCs w:val="20"/>
                    </w:rPr>
                  </w:pPr>
                  <w:proofErr w:type="spellStart"/>
                  <w:r w:rsidRPr="006D3D4C">
                    <w:rPr>
                      <w:szCs w:val="20"/>
                    </w:rPr>
                    <w:t>WtrHt</w:t>
                  </w:r>
                  <w:proofErr w:type="spellEnd"/>
                  <w:r w:rsidRPr="006D3D4C">
                    <w:rPr>
                      <w:szCs w:val="20"/>
                    </w:rPr>
                    <w:t>-WH-Faucet</w:t>
                  </w:r>
                </w:p>
              </w:tc>
              <w:tc>
                <w:tcPr>
                  <w:tcW w:w="1710" w:type="dxa"/>
                </w:tcPr>
                <w:p w14:paraId="74E92DA7" w14:textId="34B62141" w:rsidR="007F3796" w:rsidRDefault="007F3796" w:rsidP="007F3796">
                  <w:pPr>
                    <w:tabs>
                      <w:tab w:val="right" w:pos="6732"/>
                    </w:tabs>
                    <w:rPr>
                      <w:rFonts w:cs="Arial"/>
                      <w:sz w:val="20"/>
                      <w:szCs w:val="20"/>
                    </w:rPr>
                  </w:pPr>
                  <w:r w:rsidRPr="006D3D4C">
                    <w:rPr>
                      <w:szCs w:val="20"/>
                    </w:rPr>
                    <w:t>Faucet Effective Useful Life</w:t>
                  </w:r>
                </w:p>
              </w:tc>
              <w:tc>
                <w:tcPr>
                  <w:tcW w:w="1080" w:type="dxa"/>
                </w:tcPr>
                <w:p w14:paraId="30895B00" w14:textId="4A269906" w:rsidR="007F3796" w:rsidRDefault="007F3796" w:rsidP="007F3796">
                  <w:pPr>
                    <w:tabs>
                      <w:tab w:val="right" w:pos="6732"/>
                    </w:tabs>
                    <w:rPr>
                      <w:rFonts w:cs="Arial"/>
                      <w:sz w:val="20"/>
                      <w:szCs w:val="20"/>
                    </w:rPr>
                  </w:pPr>
                  <w:r w:rsidRPr="006D3D4C">
                    <w:rPr>
                      <w:szCs w:val="20"/>
                    </w:rPr>
                    <w:t>Com</w:t>
                  </w:r>
                  <w:r>
                    <w:rPr>
                      <w:szCs w:val="20"/>
                    </w:rPr>
                    <w:t>/Res</w:t>
                  </w:r>
                </w:p>
              </w:tc>
              <w:tc>
                <w:tcPr>
                  <w:tcW w:w="990" w:type="dxa"/>
                </w:tcPr>
                <w:p w14:paraId="635F6690" w14:textId="676F6B4C" w:rsidR="007F3796" w:rsidRDefault="007F3796" w:rsidP="007F3796">
                  <w:pPr>
                    <w:tabs>
                      <w:tab w:val="right" w:pos="6732"/>
                    </w:tabs>
                    <w:rPr>
                      <w:rFonts w:cs="Arial"/>
                      <w:sz w:val="20"/>
                      <w:szCs w:val="20"/>
                    </w:rPr>
                  </w:pPr>
                  <w:r>
                    <w:rPr>
                      <w:rFonts w:cs="Arial"/>
                      <w:sz w:val="20"/>
                      <w:szCs w:val="20"/>
                    </w:rPr>
                    <w:t>20</w:t>
                  </w:r>
                </w:p>
              </w:tc>
              <w:tc>
                <w:tcPr>
                  <w:tcW w:w="1170" w:type="dxa"/>
                </w:tcPr>
                <w:p w14:paraId="72425366" w14:textId="28297BD2" w:rsidR="007F3796" w:rsidRDefault="007F3796" w:rsidP="007F3796">
                  <w:pPr>
                    <w:tabs>
                      <w:tab w:val="right" w:pos="6732"/>
                    </w:tabs>
                    <w:rPr>
                      <w:rFonts w:cs="Arial"/>
                      <w:sz w:val="20"/>
                      <w:szCs w:val="20"/>
                    </w:rPr>
                  </w:pPr>
                  <w:r>
                    <w:rPr>
                      <w:rFonts w:cs="Arial"/>
                      <w:sz w:val="20"/>
                      <w:szCs w:val="20"/>
                    </w:rPr>
                    <w:t>6.67</w:t>
                  </w:r>
                </w:p>
              </w:tc>
            </w:tr>
            <w:tr w:rsidR="007F3796" w14:paraId="5A8550CB" w14:textId="144DB5C2" w:rsidTr="00CC266A">
              <w:tc>
                <w:tcPr>
                  <w:tcW w:w="8695" w:type="dxa"/>
                  <w:gridSpan w:val="6"/>
                </w:tcPr>
                <w:p w14:paraId="0442945E" w14:textId="77777777" w:rsidR="007F3796" w:rsidRDefault="007F3796" w:rsidP="007F3796">
                  <w:pPr>
                    <w:tabs>
                      <w:tab w:val="right" w:pos="6732"/>
                    </w:tabs>
                    <w:rPr>
                      <w:rFonts w:cs="Arial"/>
                      <w:sz w:val="20"/>
                      <w:szCs w:val="20"/>
                    </w:rPr>
                  </w:pPr>
                </w:p>
              </w:tc>
            </w:tr>
          </w:tbl>
          <w:p w14:paraId="29B1C243" w14:textId="6BFCA0A7" w:rsidR="001A2A67" w:rsidRPr="00D86243" w:rsidRDefault="001A2A67" w:rsidP="005F021A">
            <w:pPr>
              <w:tabs>
                <w:tab w:val="right" w:pos="6732"/>
              </w:tabs>
              <w:rPr>
                <w:rFonts w:cs="Arial"/>
                <w:sz w:val="20"/>
                <w:szCs w:val="20"/>
              </w:rPr>
            </w:pPr>
          </w:p>
        </w:tc>
      </w:tr>
      <w:tr w:rsidR="005F021A" w14:paraId="3AFEBA66" w14:textId="77777777" w:rsidTr="00FF1E51">
        <w:trPr>
          <w:cantSplit/>
          <w:trHeight w:val="845"/>
        </w:trPr>
        <w:tc>
          <w:tcPr>
            <w:tcW w:w="1901" w:type="dxa"/>
            <w:vAlign w:val="center"/>
          </w:tcPr>
          <w:p w14:paraId="0A61D1ED" w14:textId="77777777" w:rsidR="005F021A" w:rsidRPr="00822B6F" w:rsidRDefault="005F021A" w:rsidP="005F021A">
            <w:pPr>
              <w:jc w:val="right"/>
              <w:rPr>
                <w:sz w:val="20"/>
                <w:szCs w:val="20"/>
              </w:rPr>
            </w:pPr>
            <w:r>
              <w:rPr>
                <w:sz w:val="20"/>
                <w:szCs w:val="20"/>
              </w:rPr>
              <w:t>GSIA</w:t>
            </w:r>
          </w:p>
        </w:tc>
        <w:tc>
          <w:tcPr>
            <w:tcW w:w="9079" w:type="dxa"/>
          </w:tcPr>
          <w:p w14:paraId="7C4997A2" w14:textId="77777777" w:rsidR="005F021A" w:rsidRDefault="00677A43" w:rsidP="00303D94">
            <w:pPr>
              <w:jc w:val="both"/>
              <w:rPr>
                <w:sz w:val="20"/>
                <w:szCs w:val="20"/>
              </w:rPr>
            </w:pPr>
            <w:r>
              <w:rPr>
                <w:rFonts w:cs="Arial"/>
                <w:sz w:val="20"/>
                <w:szCs w:val="20"/>
              </w:rPr>
              <w:t xml:space="preserve">Please reference </w:t>
            </w:r>
            <w:r w:rsidR="00D00FF6">
              <w:rPr>
                <w:sz w:val="20"/>
                <w:szCs w:val="20"/>
              </w:rPr>
              <w:t>WPSCGCCWH180504A Revision 0</w:t>
            </w:r>
            <w:r w:rsidR="006D100F">
              <w:rPr>
                <w:sz w:val="20"/>
                <w:szCs w:val="20"/>
              </w:rPr>
              <w:t xml:space="preserve"> </w:t>
            </w:r>
            <w:r>
              <w:rPr>
                <w:sz w:val="20"/>
                <w:szCs w:val="20"/>
              </w:rPr>
              <w:t xml:space="preserve">Section 1.4.1 </w:t>
            </w:r>
            <w:r w:rsidR="00303D94">
              <w:rPr>
                <w:sz w:val="20"/>
                <w:szCs w:val="20"/>
              </w:rPr>
              <w:t>DEER Dat</w:t>
            </w:r>
            <w:r w:rsidR="00164859">
              <w:rPr>
                <w:sz w:val="20"/>
                <w:szCs w:val="20"/>
              </w:rPr>
              <w:t>a</w:t>
            </w:r>
          </w:p>
          <w:p w14:paraId="14C2151D" w14:textId="77777777" w:rsidR="00E20B60" w:rsidRDefault="00E20B60" w:rsidP="00303D94">
            <w:pPr>
              <w:jc w:val="both"/>
              <w:rPr>
                <w:rFonts w:cs="Arial"/>
                <w:sz w:val="20"/>
                <w:szCs w:val="20"/>
              </w:rPr>
            </w:pPr>
          </w:p>
          <w:tbl>
            <w:tblPr>
              <w:tblStyle w:val="TableGrid"/>
              <w:tblW w:w="0" w:type="auto"/>
              <w:tblLayout w:type="fixed"/>
              <w:tblLook w:val="04A0" w:firstRow="1" w:lastRow="0" w:firstColumn="1" w:lastColumn="0" w:noHBand="0" w:noVBand="1"/>
            </w:tblPr>
            <w:tblGrid>
              <w:gridCol w:w="2305"/>
              <w:gridCol w:w="1710"/>
              <w:gridCol w:w="2610"/>
              <w:gridCol w:w="990"/>
              <w:gridCol w:w="1238"/>
            </w:tblGrid>
            <w:tr w:rsidR="0067429F" w14:paraId="2562164C" w14:textId="77777777" w:rsidTr="00B42039">
              <w:tc>
                <w:tcPr>
                  <w:tcW w:w="2305" w:type="dxa"/>
                </w:tcPr>
                <w:p w14:paraId="0389ED77" w14:textId="1F195519" w:rsidR="0067429F" w:rsidRDefault="0067429F" w:rsidP="0067429F">
                  <w:pPr>
                    <w:jc w:val="both"/>
                    <w:rPr>
                      <w:rFonts w:cs="Arial"/>
                      <w:sz w:val="20"/>
                      <w:szCs w:val="20"/>
                    </w:rPr>
                  </w:pPr>
                  <w:r>
                    <w:rPr>
                      <w:rFonts w:cstheme="minorHAnsi"/>
                      <w:b/>
                      <w:szCs w:val="20"/>
                    </w:rPr>
                    <w:t>Measure</w:t>
                  </w:r>
                </w:p>
              </w:tc>
              <w:tc>
                <w:tcPr>
                  <w:tcW w:w="1710" w:type="dxa"/>
                </w:tcPr>
                <w:p w14:paraId="5D679C03" w14:textId="29E262FF" w:rsidR="0067429F" w:rsidRDefault="0067429F" w:rsidP="0067429F">
                  <w:pPr>
                    <w:jc w:val="both"/>
                    <w:rPr>
                      <w:rFonts w:cs="Arial"/>
                      <w:sz w:val="20"/>
                      <w:szCs w:val="20"/>
                    </w:rPr>
                  </w:pPr>
                  <w:r w:rsidRPr="00B42039">
                    <w:rPr>
                      <w:rFonts w:cstheme="minorHAnsi"/>
                      <w:szCs w:val="20"/>
                    </w:rPr>
                    <w:t>GSI</w:t>
                  </w:r>
                  <w:r w:rsidRPr="00920905">
                    <w:rPr>
                      <w:rFonts w:cstheme="minorHAnsi"/>
                      <w:b/>
                      <w:szCs w:val="20"/>
                    </w:rPr>
                    <w:t>A ID</w:t>
                  </w:r>
                </w:p>
              </w:tc>
              <w:tc>
                <w:tcPr>
                  <w:tcW w:w="2610" w:type="dxa"/>
                </w:tcPr>
                <w:p w14:paraId="6AD8F841" w14:textId="6CFC8BFA" w:rsidR="0067429F" w:rsidRDefault="0067429F" w:rsidP="0067429F">
                  <w:pPr>
                    <w:jc w:val="both"/>
                    <w:rPr>
                      <w:rFonts w:cs="Arial"/>
                      <w:sz w:val="20"/>
                      <w:szCs w:val="20"/>
                    </w:rPr>
                  </w:pPr>
                  <w:r w:rsidRPr="00920905">
                    <w:rPr>
                      <w:rFonts w:cstheme="minorHAnsi"/>
                      <w:b/>
                      <w:szCs w:val="20"/>
                    </w:rPr>
                    <w:t>Description</w:t>
                  </w:r>
                </w:p>
              </w:tc>
              <w:tc>
                <w:tcPr>
                  <w:tcW w:w="990" w:type="dxa"/>
                </w:tcPr>
                <w:p w14:paraId="20B8B54D" w14:textId="2F92F0A1" w:rsidR="0067429F" w:rsidRDefault="0067429F" w:rsidP="0067429F">
                  <w:pPr>
                    <w:jc w:val="both"/>
                    <w:rPr>
                      <w:rFonts w:cs="Arial"/>
                      <w:sz w:val="20"/>
                      <w:szCs w:val="20"/>
                    </w:rPr>
                  </w:pPr>
                  <w:r w:rsidRPr="00920905">
                    <w:rPr>
                      <w:rFonts w:cstheme="minorHAnsi"/>
                      <w:b/>
                      <w:szCs w:val="20"/>
                    </w:rPr>
                    <w:t>Sector</w:t>
                  </w:r>
                </w:p>
              </w:tc>
              <w:tc>
                <w:tcPr>
                  <w:tcW w:w="1238" w:type="dxa"/>
                </w:tcPr>
                <w:p w14:paraId="690FFCCC" w14:textId="7B8C9064" w:rsidR="0067429F" w:rsidRDefault="00577FD8" w:rsidP="0067429F">
                  <w:pPr>
                    <w:jc w:val="both"/>
                    <w:rPr>
                      <w:rFonts w:cs="Arial"/>
                      <w:sz w:val="20"/>
                      <w:szCs w:val="20"/>
                    </w:rPr>
                  </w:pPr>
                  <w:r>
                    <w:rPr>
                      <w:rFonts w:cstheme="minorHAnsi"/>
                      <w:b/>
                      <w:szCs w:val="20"/>
                    </w:rPr>
                    <w:t>GSIA Value</w:t>
                  </w:r>
                </w:p>
              </w:tc>
            </w:tr>
            <w:tr w:rsidR="00B42039" w14:paraId="18ECAD89" w14:textId="77777777" w:rsidTr="00B42039">
              <w:tc>
                <w:tcPr>
                  <w:tcW w:w="2305" w:type="dxa"/>
                </w:tcPr>
                <w:p w14:paraId="3EFE2293" w14:textId="00EC9B43" w:rsidR="00B42039" w:rsidRDefault="00B42039" w:rsidP="00B42039">
                  <w:pPr>
                    <w:rPr>
                      <w:rFonts w:cs="Arial"/>
                      <w:sz w:val="20"/>
                      <w:szCs w:val="20"/>
                    </w:rPr>
                  </w:pPr>
                  <w:r w:rsidRPr="00D51992">
                    <w:rPr>
                      <w:szCs w:val="20"/>
                    </w:rPr>
                    <w:t>FCV: Com Showerhead, Com Faucet</w:t>
                  </w:r>
                </w:p>
              </w:tc>
              <w:tc>
                <w:tcPr>
                  <w:tcW w:w="1710" w:type="dxa"/>
                </w:tcPr>
                <w:p w14:paraId="36812763" w14:textId="100CFF2F" w:rsidR="00B42039" w:rsidRDefault="00B42039" w:rsidP="00B42039">
                  <w:pPr>
                    <w:jc w:val="both"/>
                    <w:rPr>
                      <w:rFonts w:cs="Arial"/>
                      <w:sz w:val="20"/>
                      <w:szCs w:val="20"/>
                    </w:rPr>
                  </w:pPr>
                  <w:r w:rsidRPr="00D51992">
                    <w:rPr>
                      <w:szCs w:val="20"/>
                    </w:rPr>
                    <w:t>Def-GSIA</w:t>
                  </w:r>
                </w:p>
              </w:tc>
              <w:tc>
                <w:tcPr>
                  <w:tcW w:w="2610" w:type="dxa"/>
                </w:tcPr>
                <w:p w14:paraId="13D0CD78" w14:textId="5DA65722" w:rsidR="00B42039" w:rsidRDefault="00B42039" w:rsidP="00B42039">
                  <w:pPr>
                    <w:rPr>
                      <w:rFonts w:cs="Arial"/>
                      <w:sz w:val="20"/>
                      <w:szCs w:val="20"/>
                    </w:rPr>
                  </w:pPr>
                  <w:r w:rsidRPr="00D51992">
                    <w:rPr>
                      <w:szCs w:val="20"/>
                    </w:rPr>
                    <w:t>Default GSIA values</w:t>
                  </w:r>
                </w:p>
              </w:tc>
              <w:tc>
                <w:tcPr>
                  <w:tcW w:w="990" w:type="dxa"/>
                </w:tcPr>
                <w:p w14:paraId="4C673987" w14:textId="5169AD5F" w:rsidR="00B42039" w:rsidRDefault="00B42039" w:rsidP="00B42039">
                  <w:pPr>
                    <w:jc w:val="both"/>
                    <w:rPr>
                      <w:rFonts w:cs="Arial"/>
                      <w:sz w:val="20"/>
                      <w:szCs w:val="20"/>
                    </w:rPr>
                  </w:pPr>
                  <w:r w:rsidRPr="00D51992">
                    <w:rPr>
                      <w:szCs w:val="20"/>
                    </w:rPr>
                    <w:t>Any</w:t>
                  </w:r>
                </w:p>
              </w:tc>
              <w:tc>
                <w:tcPr>
                  <w:tcW w:w="1238" w:type="dxa"/>
                </w:tcPr>
                <w:p w14:paraId="2F16CE14" w14:textId="65FA1FA5" w:rsidR="00B42039" w:rsidRDefault="00B42039" w:rsidP="00B42039">
                  <w:pPr>
                    <w:jc w:val="both"/>
                    <w:rPr>
                      <w:rFonts w:cs="Arial"/>
                      <w:sz w:val="20"/>
                      <w:szCs w:val="20"/>
                    </w:rPr>
                  </w:pPr>
                  <w:r w:rsidRPr="00D51992">
                    <w:rPr>
                      <w:szCs w:val="20"/>
                    </w:rPr>
                    <w:t>1</w:t>
                  </w:r>
                </w:p>
              </w:tc>
            </w:tr>
            <w:tr w:rsidR="00B42039" w14:paraId="4D894EA3" w14:textId="77777777" w:rsidTr="00B42039">
              <w:tc>
                <w:tcPr>
                  <w:tcW w:w="2305" w:type="dxa"/>
                </w:tcPr>
                <w:p w14:paraId="4ACA1332" w14:textId="7EA4AD51" w:rsidR="00B42039" w:rsidRDefault="00B42039" w:rsidP="00B42039">
                  <w:pPr>
                    <w:rPr>
                      <w:rFonts w:cs="Arial"/>
                      <w:sz w:val="20"/>
                      <w:szCs w:val="20"/>
                    </w:rPr>
                  </w:pPr>
                  <w:r w:rsidRPr="00D51992">
                    <w:rPr>
                      <w:szCs w:val="20"/>
                    </w:rPr>
                    <w:t>FCV: Res Showerhead</w:t>
                  </w:r>
                </w:p>
              </w:tc>
              <w:tc>
                <w:tcPr>
                  <w:tcW w:w="1710" w:type="dxa"/>
                </w:tcPr>
                <w:p w14:paraId="454F485E" w14:textId="0E9A0998" w:rsidR="00B42039" w:rsidRDefault="00B42039" w:rsidP="00B42039">
                  <w:pPr>
                    <w:jc w:val="both"/>
                    <w:rPr>
                      <w:rFonts w:cs="Arial"/>
                      <w:sz w:val="20"/>
                      <w:szCs w:val="20"/>
                    </w:rPr>
                  </w:pPr>
                  <w:r w:rsidRPr="00DF30A5">
                    <w:rPr>
                      <w:szCs w:val="20"/>
                    </w:rPr>
                    <w:t>Res-</w:t>
                  </w:r>
                  <w:proofErr w:type="spellStart"/>
                  <w:r w:rsidRPr="00DF30A5">
                    <w:rPr>
                      <w:szCs w:val="20"/>
                    </w:rPr>
                    <w:t>LowF</w:t>
                  </w:r>
                  <w:proofErr w:type="spellEnd"/>
                  <w:r w:rsidRPr="00DF30A5">
                    <w:rPr>
                      <w:szCs w:val="20"/>
                    </w:rPr>
                    <w:t>-SH-All</w:t>
                  </w:r>
                </w:p>
              </w:tc>
              <w:tc>
                <w:tcPr>
                  <w:tcW w:w="2610" w:type="dxa"/>
                </w:tcPr>
                <w:p w14:paraId="0D982ADF" w14:textId="466EC7C9" w:rsidR="00B42039" w:rsidRDefault="00B42039" w:rsidP="00B42039">
                  <w:pPr>
                    <w:rPr>
                      <w:rFonts w:cs="Arial"/>
                      <w:sz w:val="20"/>
                      <w:szCs w:val="20"/>
                    </w:rPr>
                  </w:pPr>
                  <w:r w:rsidRPr="00DF30A5">
                    <w:rPr>
                      <w:szCs w:val="20"/>
                    </w:rPr>
                    <w:t>Residential low-flow Showerhead; Annual Installation Rate</w:t>
                  </w:r>
                </w:p>
              </w:tc>
              <w:tc>
                <w:tcPr>
                  <w:tcW w:w="990" w:type="dxa"/>
                </w:tcPr>
                <w:p w14:paraId="21B175FE" w14:textId="22F3535F" w:rsidR="00B42039" w:rsidRDefault="00B42039" w:rsidP="00B42039">
                  <w:pPr>
                    <w:jc w:val="both"/>
                    <w:rPr>
                      <w:rFonts w:cs="Arial"/>
                      <w:sz w:val="20"/>
                      <w:szCs w:val="20"/>
                    </w:rPr>
                  </w:pPr>
                  <w:r>
                    <w:rPr>
                      <w:szCs w:val="20"/>
                    </w:rPr>
                    <w:t>Res</w:t>
                  </w:r>
                </w:p>
              </w:tc>
              <w:tc>
                <w:tcPr>
                  <w:tcW w:w="1238" w:type="dxa"/>
                </w:tcPr>
                <w:p w14:paraId="300867F7" w14:textId="685877C6" w:rsidR="00B42039" w:rsidRDefault="00B42039" w:rsidP="00B42039">
                  <w:pPr>
                    <w:jc w:val="both"/>
                    <w:rPr>
                      <w:rFonts w:cs="Arial"/>
                      <w:sz w:val="20"/>
                      <w:szCs w:val="20"/>
                    </w:rPr>
                  </w:pPr>
                  <w:r>
                    <w:rPr>
                      <w:szCs w:val="20"/>
                    </w:rPr>
                    <w:t>0.737</w:t>
                  </w:r>
                </w:p>
              </w:tc>
            </w:tr>
            <w:tr w:rsidR="00B42039" w14:paraId="34E2F4E8" w14:textId="77777777" w:rsidTr="00B42039">
              <w:tc>
                <w:tcPr>
                  <w:tcW w:w="2305" w:type="dxa"/>
                </w:tcPr>
                <w:p w14:paraId="279AB03D" w14:textId="7801DFF9" w:rsidR="00B42039" w:rsidRDefault="00B42039" w:rsidP="00B42039">
                  <w:pPr>
                    <w:rPr>
                      <w:rFonts w:cs="Arial"/>
                      <w:sz w:val="20"/>
                      <w:szCs w:val="20"/>
                    </w:rPr>
                  </w:pPr>
                  <w:r w:rsidRPr="00D51992">
                    <w:rPr>
                      <w:szCs w:val="20"/>
                    </w:rPr>
                    <w:t>FCV: Res Faucets</w:t>
                  </w:r>
                </w:p>
              </w:tc>
              <w:tc>
                <w:tcPr>
                  <w:tcW w:w="1710" w:type="dxa"/>
                </w:tcPr>
                <w:p w14:paraId="7467D2A6" w14:textId="7AFA48DE" w:rsidR="00B42039" w:rsidRDefault="00B42039" w:rsidP="00B42039">
                  <w:pPr>
                    <w:jc w:val="both"/>
                    <w:rPr>
                      <w:rFonts w:cs="Arial"/>
                      <w:sz w:val="20"/>
                      <w:szCs w:val="20"/>
                    </w:rPr>
                  </w:pPr>
                  <w:r w:rsidRPr="00D51992">
                    <w:rPr>
                      <w:rFonts w:cstheme="minorHAnsi"/>
                    </w:rPr>
                    <w:t>Res-</w:t>
                  </w:r>
                  <w:proofErr w:type="spellStart"/>
                  <w:r w:rsidRPr="00D51992">
                    <w:rPr>
                      <w:rFonts w:cstheme="minorHAnsi"/>
                    </w:rPr>
                    <w:t>LowF</w:t>
                  </w:r>
                  <w:proofErr w:type="spellEnd"/>
                  <w:r w:rsidRPr="00D51992">
                    <w:rPr>
                      <w:rFonts w:cstheme="minorHAnsi"/>
                    </w:rPr>
                    <w:t>-FA-All</w:t>
                  </w:r>
                </w:p>
              </w:tc>
              <w:tc>
                <w:tcPr>
                  <w:tcW w:w="2610" w:type="dxa"/>
                </w:tcPr>
                <w:p w14:paraId="4E0916E0" w14:textId="6ECA5EC3" w:rsidR="00B42039" w:rsidRDefault="00B42039" w:rsidP="00B42039">
                  <w:pPr>
                    <w:rPr>
                      <w:rFonts w:cs="Arial"/>
                      <w:sz w:val="20"/>
                      <w:szCs w:val="20"/>
                    </w:rPr>
                  </w:pPr>
                  <w:r w:rsidRPr="00D51992">
                    <w:rPr>
                      <w:szCs w:val="20"/>
                    </w:rPr>
                    <w:t>Residential low-flow Faucet Aerator; Annual Installation Rate</w:t>
                  </w:r>
                </w:p>
              </w:tc>
              <w:tc>
                <w:tcPr>
                  <w:tcW w:w="990" w:type="dxa"/>
                </w:tcPr>
                <w:p w14:paraId="4DBF70DB" w14:textId="64A25141" w:rsidR="00B42039" w:rsidRDefault="00B42039" w:rsidP="00B42039">
                  <w:pPr>
                    <w:jc w:val="both"/>
                    <w:rPr>
                      <w:rFonts w:cs="Arial"/>
                      <w:sz w:val="20"/>
                      <w:szCs w:val="20"/>
                    </w:rPr>
                  </w:pPr>
                  <w:r w:rsidRPr="00D51992">
                    <w:rPr>
                      <w:szCs w:val="20"/>
                    </w:rPr>
                    <w:t>Res</w:t>
                  </w:r>
                </w:p>
              </w:tc>
              <w:tc>
                <w:tcPr>
                  <w:tcW w:w="1238" w:type="dxa"/>
                </w:tcPr>
                <w:p w14:paraId="44596776" w14:textId="5109C776" w:rsidR="00B42039" w:rsidRDefault="00B42039" w:rsidP="00B42039">
                  <w:pPr>
                    <w:jc w:val="both"/>
                    <w:rPr>
                      <w:rFonts w:cs="Arial"/>
                      <w:sz w:val="20"/>
                      <w:szCs w:val="20"/>
                    </w:rPr>
                  </w:pPr>
                  <w:r w:rsidRPr="00D51992">
                    <w:rPr>
                      <w:szCs w:val="20"/>
                    </w:rPr>
                    <w:t>0.665</w:t>
                  </w:r>
                </w:p>
              </w:tc>
            </w:tr>
          </w:tbl>
          <w:p w14:paraId="287F697D" w14:textId="0D44BB0D" w:rsidR="00E20B60" w:rsidRPr="004748BE" w:rsidRDefault="00E20B60" w:rsidP="00303D94">
            <w:pPr>
              <w:jc w:val="both"/>
              <w:rPr>
                <w:rFonts w:cs="Arial"/>
                <w:sz w:val="20"/>
                <w:szCs w:val="20"/>
              </w:rPr>
            </w:pPr>
          </w:p>
        </w:tc>
      </w:tr>
      <w:tr w:rsidR="005F021A" w14:paraId="49A2DCE8" w14:textId="77777777" w:rsidTr="00FF1E51">
        <w:trPr>
          <w:cantSplit/>
          <w:trHeight w:val="458"/>
        </w:trPr>
        <w:tc>
          <w:tcPr>
            <w:tcW w:w="1098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FF1E51">
        <w:trPr>
          <w:cantSplit/>
        </w:trPr>
        <w:tc>
          <w:tcPr>
            <w:tcW w:w="1901" w:type="dxa"/>
            <w:vAlign w:val="center"/>
          </w:tcPr>
          <w:p w14:paraId="08017F42" w14:textId="77777777" w:rsidR="005F021A" w:rsidRDefault="005F021A" w:rsidP="005F021A">
            <w:pPr>
              <w:jc w:val="right"/>
            </w:pPr>
            <w:r>
              <w:rPr>
                <w:rFonts w:cs="Arial"/>
                <w:sz w:val="20"/>
                <w:szCs w:val="20"/>
              </w:rPr>
              <w:t>Energy Savings/Peak Demand Reduction – All Measures</w:t>
            </w:r>
          </w:p>
        </w:tc>
        <w:tc>
          <w:tcPr>
            <w:tcW w:w="9079" w:type="dxa"/>
          </w:tcPr>
          <w:p w14:paraId="753B3A58" w14:textId="21D4DC47" w:rsidR="00677A43" w:rsidRPr="000E65D6" w:rsidRDefault="00677A43" w:rsidP="00677A43">
            <w:pPr>
              <w:jc w:val="both"/>
              <w:rPr>
                <w:rFonts w:cs="Arial"/>
                <w:sz w:val="20"/>
                <w:szCs w:val="20"/>
              </w:rPr>
            </w:pPr>
            <w:r>
              <w:rPr>
                <w:rFonts w:cs="Arial"/>
                <w:sz w:val="20"/>
                <w:szCs w:val="20"/>
              </w:rPr>
              <w:t xml:space="preserve">Please reference </w:t>
            </w:r>
            <w:r w:rsidR="00D00FF6">
              <w:rPr>
                <w:sz w:val="20"/>
                <w:szCs w:val="20"/>
              </w:rPr>
              <w:t>WPSCGCCWH180504A Revision 0</w:t>
            </w:r>
            <w:r>
              <w:rPr>
                <w:sz w:val="20"/>
                <w:szCs w:val="20"/>
              </w:rPr>
              <w:t xml:space="preserve"> Section 2 Calculation Methodology</w:t>
            </w:r>
          </w:p>
          <w:p w14:paraId="1A1536BC" w14:textId="6D2CA12D" w:rsidR="005F021A" w:rsidRPr="00555671" w:rsidRDefault="005F021A" w:rsidP="005F021A">
            <w:pPr>
              <w:tabs>
                <w:tab w:val="right" w:pos="6732"/>
              </w:tabs>
              <w:jc w:val="both"/>
              <w:rPr>
                <w:rFonts w:cs="Arial"/>
                <w:sz w:val="20"/>
                <w:szCs w:val="20"/>
              </w:rPr>
            </w:pPr>
          </w:p>
        </w:tc>
      </w:tr>
      <w:tr w:rsidR="005F021A" w14:paraId="098E0A5E" w14:textId="77777777" w:rsidTr="00FF1E51">
        <w:trPr>
          <w:cantSplit/>
        </w:trPr>
        <w:tc>
          <w:tcPr>
            <w:tcW w:w="1098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t>Section 3. Load Shapes</w:t>
            </w:r>
          </w:p>
        </w:tc>
      </w:tr>
      <w:tr w:rsidR="005F021A" w14:paraId="3C985753" w14:textId="77777777" w:rsidTr="00FF1E51">
        <w:trPr>
          <w:cantSplit/>
        </w:trPr>
        <w:tc>
          <w:tcPr>
            <w:tcW w:w="1901" w:type="dxa"/>
            <w:vAlign w:val="center"/>
          </w:tcPr>
          <w:p w14:paraId="2930804E" w14:textId="77777777" w:rsidR="005F021A" w:rsidRPr="00DD2F3D" w:rsidRDefault="005F021A" w:rsidP="005F021A">
            <w:r>
              <w:lastRenderedPageBreak/>
              <w:t>Load Shape</w:t>
            </w:r>
          </w:p>
        </w:tc>
        <w:tc>
          <w:tcPr>
            <w:tcW w:w="9079" w:type="dxa"/>
          </w:tcPr>
          <w:p w14:paraId="02FC9440" w14:textId="77777777" w:rsidR="005F021A" w:rsidRDefault="00677A43" w:rsidP="005F021A">
            <w:pPr>
              <w:tabs>
                <w:tab w:val="right" w:pos="6732"/>
              </w:tabs>
              <w:rPr>
                <w:sz w:val="20"/>
                <w:szCs w:val="20"/>
              </w:rPr>
            </w:pPr>
            <w:r>
              <w:rPr>
                <w:rFonts w:cs="Arial"/>
                <w:sz w:val="20"/>
                <w:szCs w:val="20"/>
              </w:rPr>
              <w:t xml:space="preserve">Please reference </w:t>
            </w:r>
            <w:r w:rsidR="00D00FF6">
              <w:rPr>
                <w:sz w:val="20"/>
                <w:szCs w:val="20"/>
              </w:rPr>
              <w:t>WPSCGCCWH180504A Revision 0</w:t>
            </w:r>
            <w:r w:rsidR="001E457A">
              <w:rPr>
                <w:sz w:val="20"/>
                <w:szCs w:val="20"/>
              </w:rPr>
              <w:t xml:space="preserve"> </w:t>
            </w:r>
            <w:r>
              <w:rPr>
                <w:sz w:val="20"/>
                <w:szCs w:val="20"/>
              </w:rPr>
              <w:t>Section 3 Load Shapes</w:t>
            </w:r>
          </w:p>
          <w:p w14:paraId="44B7071A" w14:textId="7992776D" w:rsidR="00B42039" w:rsidRDefault="00B42039" w:rsidP="005F021A">
            <w:pPr>
              <w:tabs>
                <w:tab w:val="right" w:pos="6732"/>
              </w:tabs>
              <w:rPr>
                <w:rFonts w:cstheme="minorHAnsi"/>
                <w:bCs/>
                <w:sz w:val="20"/>
              </w:rPr>
            </w:pPr>
          </w:p>
        </w:tc>
      </w:tr>
      <w:tr w:rsidR="005F021A" w14:paraId="2591BE2B" w14:textId="77777777" w:rsidTr="00FF1E51">
        <w:trPr>
          <w:cantSplit/>
        </w:trPr>
        <w:tc>
          <w:tcPr>
            <w:tcW w:w="1098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FF1E51">
        <w:trPr>
          <w:cantSplit/>
        </w:trPr>
        <w:tc>
          <w:tcPr>
            <w:tcW w:w="1098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FF1E51">
        <w:trPr>
          <w:cantSplit/>
          <w:trHeight w:val="575"/>
        </w:trPr>
        <w:tc>
          <w:tcPr>
            <w:tcW w:w="1901" w:type="dxa"/>
          </w:tcPr>
          <w:p w14:paraId="0905D050" w14:textId="77777777" w:rsidR="005F021A" w:rsidRPr="00D91B6C" w:rsidRDefault="005F021A" w:rsidP="005F021A">
            <w:r w:rsidRPr="00D91B6C">
              <w:t>Base Cost</w:t>
            </w:r>
          </w:p>
        </w:tc>
        <w:tc>
          <w:tcPr>
            <w:tcW w:w="9079" w:type="dxa"/>
          </w:tcPr>
          <w:p w14:paraId="07A0B974" w14:textId="77777777" w:rsidR="005F021A" w:rsidRDefault="00677A43" w:rsidP="005F021A">
            <w:pPr>
              <w:rPr>
                <w:sz w:val="20"/>
                <w:szCs w:val="20"/>
              </w:rPr>
            </w:pPr>
            <w:r>
              <w:rPr>
                <w:rFonts w:cs="Arial"/>
                <w:sz w:val="20"/>
                <w:szCs w:val="20"/>
              </w:rPr>
              <w:t xml:space="preserve">Please reference </w:t>
            </w:r>
            <w:r w:rsidR="00D00FF6">
              <w:rPr>
                <w:sz w:val="20"/>
                <w:szCs w:val="20"/>
              </w:rPr>
              <w:t>WPSCGCCWH180504A Revision 0</w:t>
            </w:r>
            <w:r w:rsidR="001E457A">
              <w:rPr>
                <w:sz w:val="20"/>
                <w:szCs w:val="20"/>
              </w:rPr>
              <w:t xml:space="preserve"> </w:t>
            </w:r>
            <w:r>
              <w:rPr>
                <w:sz w:val="20"/>
                <w:szCs w:val="20"/>
              </w:rPr>
              <w:t>Section 4.1 Base Case Cost</w:t>
            </w:r>
            <w:r w:rsidR="00896B4F">
              <w:rPr>
                <w:sz w:val="20"/>
                <w:szCs w:val="20"/>
              </w:rPr>
              <w:t xml:space="preserve"> </w:t>
            </w:r>
          </w:p>
          <w:p w14:paraId="1B43A690" w14:textId="77777777" w:rsidR="007E5A84" w:rsidRDefault="007E5A84" w:rsidP="005F021A">
            <w:pPr>
              <w:rPr>
                <w:sz w:val="20"/>
                <w:szCs w:val="20"/>
              </w:rPr>
            </w:pPr>
          </w:p>
          <w:p w14:paraId="3F153440" w14:textId="3F15BD2E" w:rsidR="007E5A84" w:rsidRPr="0081521F" w:rsidRDefault="0081521F" w:rsidP="005F021A">
            <w:pPr>
              <w:rPr>
                <w:color w:val="FF0000"/>
              </w:rPr>
            </w:pPr>
            <w:r w:rsidRPr="006D1714">
              <w:t xml:space="preserve">The base case cost is zero as this will be not applying any measure. </w:t>
            </w:r>
          </w:p>
        </w:tc>
      </w:tr>
      <w:tr w:rsidR="005F021A" w14:paraId="3FBD5C64" w14:textId="77777777" w:rsidTr="00FF1E51">
        <w:trPr>
          <w:cantSplit/>
        </w:trPr>
        <w:tc>
          <w:tcPr>
            <w:tcW w:w="1901" w:type="dxa"/>
          </w:tcPr>
          <w:p w14:paraId="42044528" w14:textId="77777777" w:rsidR="005F021A" w:rsidRPr="00D91B6C" w:rsidRDefault="005F021A" w:rsidP="005F021A">
            <w:r w:rsidRPr="00D91B6C">
              <w:t xml:space="preserve">Measure Cost </w:t>
            </w:r>
          </w:p>
        </w:tc>
        <w:tc>
          <w:tcPr>
            <w:tcW w:w="9079" w:type="dxa"/>
          </w:tcPr>
          <w:p w14:paraId="54E333F6" w14:textId="69A1517C" w:rsidR="00896B4F" w:rsidRDefault="00677A43" w:rsidP="005F021A">
            <w:pPr>
              <w:rPr>
                <w:sz w:val="20"/>
                <w:szCs w:val="20"/>
              </w:rPr>
            </w:pPr>
            <w:r>
              <w:rPr>
                <w:rFonts w:cs="Arial"/>
                <w:sz w:val="20"/>
                <w:szCs w:val="20"/>
              </w:rPr>
              <w:t xml:space="preserve">Please reference </w:t>
            </w:r>
            <w:r w:rsidR="00D00FF6">
              <w:rPr>
                <w:sz w:val="20"/>
                <w:szCs w:val="20"/>
              </w:rPr>
              <w:t>WPSCGCCWH180504A Revision 0</w:t>
            </w:r>
            <w:r>
              <w:rPr>
                <w:sz w:val="20"/>
                <w:szCs w:val="20"/>
              </w:rPr>
              <w:t xml:space="preserve"> Section 4.2 Measure Case Cost</w:t>
            </w:r>
            <w:r w:rsidR="00896B4F">
              <w:rPr>
                <w:sz w:val="20"/>
                <w:szCs w:val="20"/>
              </w:rPr>
              <w:t xml:space="preserve"> for how measure cost estimates were determined. </w:t>
            </w:r>
          </w:p>
          <w:p w14:paraId="4E18E043" w14:textId="77777777" w:rsidR="00896B4F" w:rsidRDefault="00896B4F" w:rsidP="005F021A">
            <w:pPr>
              <w:rPr>
                <w:sz w:val="20"/>
                <w:szCs w:val="20"/>
              </w:rPr>
            </w:pPr>
          </w:p>
          <w:p w14:paraId="0E4C5D25" w14:textId="40076527" w:rsidR="005F021A" w:rsidRDefault="00896B4F" w:rsidP="005F021A">
            <w:pPr>
              <w:rPr>
                <w:sz w:val="20"/>
                <w:szCs w:val="20"/>
              </w:rPr>
            </w:pPr>
            <w:r>
              <w:rPr>
                <w:sz w:val="20"/>
                <w:szCs w:val="20"/>
              </w:rPr>
              <w:t>SDG&amp;E adopts all cost but created SDG&amp;E measure cost IDs for reporting purposes. SDG&amp;E measure cost IDs are included in Ex-Ante tables submission</w:t>
            </w:r>
            <w:r w:rsidR="005229EF">
              <w:rPr>
                <w:sz w:val="20"/>
                <w:szCs w:val="20"/>
              </w:rPr>
              <w:t>.</w:t>
            </w:r>
          </w:p>
          <w:p w14:paraId="76C06208" w14:textId="4D7DB714" w:rsidR="0081521F" w:rsidRDefault="0081521F" w:rsidP="005F021A">
            <w:pPr>
              <w:rPr>
                <w:sz w:val="20"/>
                <w:szCs w:val="20"/>
              </w:rPr>
            </w:pPr>
          </w:p>
          <w:tbl>
            <w:tblPr>
              <w:tblStyle w:val="TableGrid"/>
              <w:tblW w:w="0" w:type="auto"/>
              <w:tblLayout w:type="fixed"/>
              <w:tblLook w:val="04A0" w:firstRow="1" w:lastRow="0" w:firstColumn="1" w:lastColumn="0" w:noHBand="0" w:noVBand="1"/>
            </w:tblPr>
            <w:tblGrid>
              <w:gridCol w:w="1475"/>
              <w:gridCol w:w="20"/>
              <w:gridCol w:w="1080"/>
              <w:gridCol w:w="1980"/>
              <w:gridCol w:w="2610"/>
              <w:gridCol w:w="1440"/>
            </w:tblGrid>
            <w:tr w:rsidR="000A38B1" w14:paraId="76A2E991" w14:textId="77777777" w:rsidTr="00614832">
              <w:tc>
                <w:tcPr>
                  <w:tcW w:w="1475" w:type="dxa"/>
                  <w:vMerge w:val="restart"/>
                  <w:shd w:val="pct15" w:color="auto" w:fill="auto"/>
                </w:tcPr>
                <w:p w14:paraId="46C80CDA" w14:textId="1E1C6701" w:rsidR="000A38B1" w:rsidRPr="000A38B1" w:rsidRDefault="000A38B1" w:rsidP="005F021A">
                  <w:pPr>
                    <w:rPr>
                      <w:sz w:val="20"/>
                      <w:szCs w:val="20"/>
                    </w:rPr>
                  </w:pPr>
                  <w:r w:rsidRPr="000A38B1">
                    <w:rPr>
                      <w:sz w:val="20"/>
                      <w:szCs w:val="20"/>
                    </w:rPr>
                    <w:t>Application</w:t>
                  </w:r>
                </w:p>
              </w:tc>
              <w:tc>
                <w:tcPr>
                  <w:tcW w:w="1100" w:type="dxa"/>
                  <w:gridSpan w:val="2"/>
                  <w:vMerge w:val="restart"/>
                  <w:shd w:val="pct15" w:color="auto" w:fill="auto"/>
                </w:tcPr>
                <w:p w14:paraId="03A1DC2B" w14:textId="3E93E4DE" w:rsidR="000A38B1" w:rsidRPr="000A38B1" w:rsidRDefault="000A38B1" w:rsidP="005F021A">
                  <w:pPr>
                    <w:rPr>
                      <w:sz w:val="20"/>
                      <w:szCs w:val="20"/>
                    </w:rPr>
                  </w:pPr>
                  <w:r w:rsidRPr="000A38B1">
                    <w:rPr>
                      <w:sz w:val="20"/>
                      <w:szCs w:val="20"/>
                    </w:rPr>
                    <w:t>Installation Type</w:t>
                  </w:r>
                </w:p>
              </w:tc>
              <w:tc>
                <w:tcPr>
                  <w:tcW w:w="1980" w:type="dxa"/>
                  <w:vMerge w:val="restart"/>
                  <w:shd w:val="pct15" w:color="auto" w:fill="auto"/>
                </w:tcPr>
                <w:p w14:paraId="73881058" w14:textId="2EB83083" w:rsidR="000A38B1" w:rsidRPr="000A38B1" w:rsidRDefault="000A38B1" w:rsidP="005F021A">
                  <w:pPr>
                    <w:rPr>
                      <w:sz w:val="20"/>
                      <w:szCs w:val="20"/>
                    </w:rPr>
                  </w:pPr>
                  <w:r w:rsidRPr="000A38B1">
                    <w:rPr>
                      <w:sz w:val="20"/>
                      <w:szCs w:val="20"/>
                    </w:rPr>
                    <w:t>Incremental Measure Cost</w:t>
                  </w:r>
                </w:p>
              </w:tc>
              <w:tc>
                <w:tcPr>
                  <w:tcW w:w="4050" w:type="dxa"/>
                  <w:gridSpan w:val="2"/>
                  <w:shd w:val="pct15" w:color="auto" w:fill="auto"/>
                </w:tcPr>
                <w:p w14:paraId="2212D72B" w14:textId="77777777" w:rsidR="000A38B1" w:rsidRPr="000A38B1" w:rsidRDefault="000A38B1" w:rsidP="005F021A">
                  <w:pPr>
                    <w:rPr>
                      <w:sz w:val="20"/>
                      <w:szCs w:val="20"/>
                    </w:rPr>
                  </w:pPr>
                  <w:r w:rsidRPr="000A38B1">
                    <w:rPr>
                      <w:sz w:val="20"/>
                      <w:szCs w:val="20"/>
                    </w:rPr>
                    <w:t>Full Measure Cost</w:t>
                  </w:r>
                </w:p>
                <w:p w14:paraId="70304B98" w14:textId="09552255" w:rsidR="000A38B1" w:rsidRPr="000A38B1" w:rsidRDefault="000A38B1" w:rsidP="005F021A">
                  <w:pPr>
                    <w:rPr>
                      <w:sz w:val="20"/>
                      <w:szCs w:val="20"/>
                    </w:rPr>
                  </w:pPr>
                </w:p>
              </w:tc>
            </w:tr>
            <w:tr w:rsidR="000A38B1" w14:paraId="0F7DB9E8" w14:textId="77777777" w:rsidTr="00614832">
              <w:tc>
                <w:tcPr>
                  <w:tcW w:w="1475" w:type="dxa"/>
                  <w:vMerge/>
                </w:tcPr>
                <w:p w14:paraId="749EAEB3" w14:textId="77777777" w:rsidR="000A38B1" w:rsidRDefault="000A38B1" w:rsidP="005F021A">
                  <w:pPr>
                    <w:rPr>
                      <w:sz w:val="20"/>
                      <w:szCs w:val="20"/>
                    </w:rPr>
                  </w:pPr>
                </w:p>
              </w:tc>
              <w:tc>
                <w:tcPr>
                  <w:tcW w:w="1100" w:type="dxa"/>
                  <w:gridSpan w:val="2"/>
                  <w:vMerge/>
                </w:tcPr>
                <w:p w14:paraId="06A10ABB" w14:textId="77777777" w:rsidR="000A38B1" w:rsidRDefault="000A38B1" w:rsidP="005F021A">
                  <w:pPr>
                    <w:rPr>
                      <w:sz w:val="20"/>
                      <w:szCs w:val="20"/>
                    </w:rPr>
                  </w:pPr>
                </w:p>
              </w:tc>
              <w:tc>
                <w:tcPr>
                  <w:tcW w:w="1980" w:type="dxa"/>
                  <w:vMerge/>
                </w:tcPr>
                <w:p w14:paraId="6B256B97" w14:textId="77777777" w:rsidR="000A38B1" w:rsidRDefault="000A38B1" w:rsidP="005F021A">
                  <w:pPr>
                    <w:rPr>
                      <w:sz w:val="20"/>
                      <w:szCs w:val="20"/>
                    </w:rPr>
                  </w:pPr>
                </w:p>
              </w:tc>
              <w:tc>
                <w:tcPr>
                  <w:tcW w:w="2610" w:type="dxa"/>
                </w:tcPr>
                <w:p w14:paraId="159D80E3" w14:textId="6943D7A8" w:rsidR="000A38B1" w:rsidRDefault="000A38B1" w:rsidP="005F021A">
                  <w:pPr>
                    <w:rPr>
                      <w:sz w:val="20"/>
                      <w:szCs w:val="20"/>
                    </w:rPr>
                  </w:pPr>
                  <w:r>
                    <w:rPr>
                      <w:sz w:val="20"/>
                      <w:szCs w:val="20"/>
                    </w:rPr>
                    <w:t>1</w:t>
                  </w:r>
                  <w:r w:rsidRPr="000A38B1">
                    <w:rPr>
                      <w:sz w:val="20"/>
                      <w:szCs w:val="20"/>
                      <w:vertAlign w:val="superscript"/>
                    </w:rPr>
                    <w:t>st</w:t>
                  </w:r>
                  <w:r>
                    <w:rPr>
                      <w:sz w:val="20"/>
                      <w:szCs w:val="20"/>
                    </w:rPr>
                    <w:t xml:space="preserve"> Baseline</w:t>
                  </w:r>
                </w:p>
              </w:tc>
              <w:tc>
                <w:tcPr>
                  <w:tcW w:w="1440" w:type="dxa"/>
                </w:tcPr>
                <w:p w14:paraId="56662FD9" w14:textId="40F110EC" w:rsidR="000A38B1" w:rsidRDefault="000A38B1" w:rsidP="005F021A">
                  <w:pPr>
                    <w:rPr>
                      <w:sz w:val="20"/>
                      <w:szCs w:val="20"/>
                    </w:rPr>
                  </w:pPr>
                  <w:r>
                    <w:rPr>
                      <w:sz w:val="20"/>
                      <w:szCs w:val="20"/>
                    </w:rPr>
                    <w:t>2</w:t>
                  </w:r>
                  <w:r w:rsidRPr="000A38B1">
                    <w:rPr>
                      <w:sz w:val="20"/>
                      <w:szCs w:val="20"/>
                      <w:vertAlign w:val="superscript"/>
                    </w:rPr>
                    <w:t>nd</w:t>
                  </w:r>
                  <w:r>
                    <w:rPr>
                      <w:sz w:val="20"/>
                      <w:szCs w:val="20"/>
                    </w:rPr>
                    <w:t xml:space="preserve"> Baseline</w:t>
                  </w:r>
                </w:p>
              </w:tc>
            </w:tr>
            <w:tr w:rsidR="00614832" w14:paraId="18453358" w14:textId="77777777" w:rsidTr="00614832">
              <w:tc>
                <w:tcPr>
                  <w:tcW w:w="1495" w:type="dxa"/>
                  <w:gridSpan w:val="2"/>
                </w:tcPr>
                <w:p w14:paraId="62E747D3" w14:textId="7EC58440" w:rsidR="00614832" w:rsidRDefault="00614832" w:rsidP="00614832">
                  <w:pPr>
                    <w:rPr>
                      <w:sz w:val="20"/>
                      <w:szCs w:val="20"/>
                    </w:rPr>
                  </w:pPr>
                  <w:r>
                    <w:rPr>
                      <w:rFonts w:cstheme="minorHAnsi"/>
                      <w:szCs w:val="20"/>
                    </w:rPr>
                    <w:t>Faucet FCVs</w:t>
                  </w:r>
                </w:p>
              </w:tc>
              <w:tc>
                <w:tcPr>
                  <w:tcW w:w="1080" w:type="dxa"/>
                </w:tcPr>
                <w:p w14:paraId="5DBB5612" w14:textId="7A6F921E" w:rsidR="00614832" w:rsidRDefault="00614832" w:rsidP="00614832">
                  <w:pPr>
                    <w:rPr>
                      <w:sz w:val="20"/>
                      <w:szCs w:val="20"/>
                    </w:rPr>
                  </w:pPr>
                  <w:r>
                    <w:rPr>
                      <w:rFonts w:cstheme="minorHAnsi"/>
                      <w:szCs w:val="20"/>
                    </w:rPr>
                    <w:t>REA</w:t>
                  </w:r>
                </w:p>
              </w:tc>
              <w:tc>
                <w:tcPr>
                  <w:tcW w:w="1980" w:type="dxa"/>
                </w:tcPr>
                <w:p w14:paraId="2545874E" w14:textId="77777777" w:rsidR="00614832" w:rsidRDefault="00614832" w:rsidP="00614832">
                  <w:pPr>
                    <w:rPr>
                      <w:rFonts w:cstheme="minorHAnsi"/>
                      <w:szCs w:val="20"/>
                    </w:rPr>
                  </w:pPr>
                  <w:r>
                    <w:rPr>
                      <w:rFonts w:cstheme="minorHAnsi"/>
                      <w:szCs w:val="20"/>
                    </w:rPr>
                    <w:t>MEC + MLC</w:t>
                  </w:r>
                </w:p>
                <w:p w14:paraId="76E1EA5F" w14:textId="77647F4B" w:rsidR="00614832" w:rsidRDefault="00614832" w:rsidP="00614832">
                  <w:pPr>
                    <w:rPr>
                      <w:sz w:val="20"/>
                      <w:szCs w:val="20"/>
                    </w:rPr>
                  </w:pPr>
                  <w:r>
                    <w:rPr>
                      <w:rFonts w:cstheme="minorHAnsi"/>
                      <w:szCs w:val="20"/>
                    </w:rPr>
                    <w:t>$25.00 + $33.48 = $58.48</w:t>
                  </w:r>
                </w:p>
              </w:tc>
              <w:tc>
                <w:tcPr>
                  <w:tcW w:w="2610" w:type="dxa"/>
                </w:tcPr>
                <w:p w14:paraId="657456C8" w14:textId="77777777" w:rsidR="00614832" w:rsidRDefault="00614832" w:rsidP="00614832">
                  <w:pPr>
                    <w:rPr>
                      <w:rFonts w:cstheme="minorHAnsi"/>
                      <w:szCs w:val="20"/>
                    </w:rPr>
                  </w:pPr>
                  <w:r>
                    <w:rPr>
                      <w:rFonts w:cstheme="minorHAnsi"/>
                      <w:szCs w:val="20"/>
                    </w:rPr>
                    <w:t>MEC + MLC</w:t>
                  </w:r>
                </w:p>
                <w:p w14:paraId="53E925B0" w14:textId="3B321E48" w:rsidR="00614832" w:rsidRDefault="00614832" w:rsidP="00614832">
                  <w:pPr>
                    <w:rPr>
                      <w:sz w:val="20"/>
                      <w:szCs w:val="20"/>
                    </w:rPr>
                  </w:pPr>
                  <w:r>
                    <w:rPr>
                      <w:rFonts w:cstheme="minorHAnsi"/>
                      <w:szCs w:val="20"/>
                    </w:rPr>
                    <w:t>$25.00 + $33.48 = $58.48</w:t>
                  </w:r>
                </w:p>
              </w:tc>
              <w:tc>
                <w:tcPr>
                  <w:tcW w:w="1440" w:type="dxa"/>
                </w:tcPr>
                <w:p w14:paraId="3257AF6C" w14:textId="0CC09204" w:rsidR="00614832" w:rsidRDefault="00614832" w:rsidP="00614832">
                  <w:pPr>
                    <w:rPr>
                      <w:sz w:val="20"/>
                      <w:szCs w:val="20"/>
                    </w:rPr>
                  </w:pPr>
                  <w:r>
                    <w:rPr>
                      <w:rFonts w:cstheme="minorHAnsi"/>
                      <w:szCs w:val="20"/>
                    </w:rPr>
                    <w:t>N/A</w:t>
                  </w:r>
                </w:p>
              </w:tc>
            </w:tr>
            <w:tr w:rsidR="00614832" w14:paraId="28A4AF28" w14:textId="77777777" w:rsidTr="00614832">
              <w:tc>
                <w:tcPr>
                  <w:tcW w:w="1495" w:type="dxa"/>
                  <w:gridSpan w:val="2"/>
                </w:tcPr>
                <w:p w14:paraId="31CF760F" w14:textId="52AE5F78" w:rsidR="00614832" w:rsidRDefault="00614832" w:rsidP="00614832">
                  <w:pPr>
                    <w:rPr>
                      <w:sz w:val="20"/>
                      <w:szCs w:val="20"/>
                    </w:rPr>
                  </w:pPr>
                  <w:r>
                    <w:rPr>
                      <w:rFonts w:cstheme="minorHAnsi"/>
                      <w:szCs w:val="20"/>
                    </w:rPr>
                    <w:t>Showerhead FCVs</w:t>
                  </w:r>
                </w:p>
              </w:tc>
              <w:tc>
                <w:tcPr>
                  <w:tcW w:w="1080" w:type="dxa"/>
                </w:tcPr>
                <w:p w14:paraId="7EF0F509" w14:textId="06916B65" w:rsidR="00614832" w:rsidRDefault="00614832" w:rsidP="00614832">
                  <w:pPr>
                    <w:rPr>
                      <w:sz w:val="20"/>
                      <w:szCs w:val="20"/>
                    </w:rPr>
                  </w:pPr>
                  <w:r>
                    <w:rPr>
                      <w:rFonts w:cstheme="minorHAnsi"/>
                      <w:szCs w:val="20"/>
                    </w:rPr>
                    <w:t>REA</w:t>
                  </w:r>
                </w:p>
              </w:tc>
              <w:tc>
                <w:tcPr>
                  <w:tcW w:w="1980" w:type="dxa"/>
                </w:tcPr>
                <w:p w14:paraId="13D1AB48" w14:textId="77777777" w:rsidR="00614832" w:rsidRDefault="00614832" w:rsidP="00614832">
                  <w:pPr>
                    <w:rPr>
                      <w:rFonts w:cstheme="minorHAnsi"/>
                      <w:szCs w:val="20"/>
                    </w:rPr>
                  </w:pPr>
                  <w:r>
                    <w:rPr>
                      <w:rFonts w:cstheme="minorHAnsi"/>
                      <w:szCs w:val="20"/>
                    </w:rPr>
                    <w:t>MEC + MLC</w:t>
                  </w:r>
                </w:p>
                <w:p w14:paraId="7CF5676E" w14:textId="6DA4955D" w:rsidR="00614832" w:rsidRDefault="00614832" w:rsidP="00614832">
                  <w:pPr>
                    <w:rPr>
                      <w:sz w:val="20"/>
                      <w:szCs w:val="20"/>
                    </w:rPr>
                  </w:pPr>
                  <w:r>
                    <w:rPr>
                      <w:rFonts w:cstheme="minorHAnsi"/>
                      <w:szCs w:val="20"/>
                    </w:rPr>
                    <w:t>$25.00 + $16.74 = $41.74</w:t>
                  </w:r>
                </w:p>
              </w:tc>
              <w:tc>
                <w:tcPr>
                  <w:tcW w:w="2610" w:type="dxa"/>
                </w:tcPr>
                <w:p w14:paraId="5E02F111" w14:textId="77777777" w:rsidR="00614832" w:rsidRPr="0012718B" w:rsidRDefault="00614832" w:rsidP="00614832">
                  <w:pPr>
                    <w:rPr>
                      <w:rFonts w:cstheme="minorHAnsi"/>
                      <w:szCs w:val="20"/>
                    </w:rPr>
                  </w:pPr>
                  <w:r w:rsidRPr="0012718B">
                    <w:rPr>
                      <w:rFonts w:cstheme="minorHAnsi"/>
                      <w:szCs w:val="20"/>
                    </w:rPr>
                    <w:t>MEC + MLC</w:t>
                  </w:r>
                </w:p>
                <w:p w14:paraId="6D8DEF41" w14:textId="31E702C0" w:rsidR="00614832" w:rsidRDefault="00614832" w:rsidP="00614832">
                  <w:pPr>
                    <w:rPr>
                      <w:sz w:val="20"/>
                      <w:szCs w:val="20"/>
                    </w:rPr>
                  </w:pPr>
                  <w:r w:rsidRPr="0012718B">
                    <w:rPr>
                      <w:rFonts w:cstheme="minorHAnsi"/>
                      <w:szCs w:val="20"/>
                    </w:rPr>
                    <w:t>$25.00 + $16.74 = $41.74</w:t>
                  </w:r>
                </w:p>
              </w:tc>
              <w:tc>
                <w:tcPr>
                  <w:tcW w:w="1440" w:type="dxa"/>
                </w:tcPr>
                <w:p w14:paraId="79207A09" w14:textId="066156F8" w:rsidR="00614832" w:rsidRDefault="00614832" w:rsidP="00614832">
                  <w:pPr>
                    <w:rPr>
                      <w:sz w:val="20"/>
                      <w:szCs w:val="20"/>
                    </w:rPr>
                  </w:pPr>
                  <w:r>
                    <w:rPr>
                      <w:rFonts w:cstheme="minorHAnsi"/>
                      <w:szCs w:val="20"/>
                    </w:rPr>
                    <w:t>N/A</w:t>
                  </w:r>
                </w:p>
              </w:tc>
            </w:tr>
          </w:tbl>
          <w:p w14:paraId="6AE562F0" w14:textId="77777777" w:rsidR="0081521F" w:rsidRDefault="0081521F" w:rsidP="005F021A">
            <w:pPr>
              <w:rPr>
                <w:sz w:val="20"/>
                <w:szCs w:val="20"/>
              </w:rPr>
            </w:pPr>
            <w:bookmarkStart w:id="6" w:name="_GoBack"/>
            <w:bookmarkEnd w:id="6"/>
          </w:p>
          <w:p w14:paraId="65B7301B" w14:textId="28F99519" w:rsidR="005F021A" w:rsidRPr="00F44876" w:rsidRDefault="005F021A" w:rsidP="00677A43">
            <w:pPr>
              <w:rPr>
                <w:sz w:val="20"/>
                <w:szCs w:val="20"/>
              </w:rPr>
            </w:pPr>
          </w:p>
        </w:tc>
      </w:tr>
    </w:tbl>
    <w:p w14:paraId="5E8E4756" w14:textId="77777777" w:rsidR="00C228B0" w:rsidRPr="00FD3D43" w:rsidRDefault="00C228B0" w:rsidP="00F44876"/>
    <w:sectPr w:rsidR="00C228B0" w:rsidRPr="00FD3D43" w:rsidSect="000119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4038B" w14:textId="77777777" w:rsidR="00AF4831" w:rsidRDefault="00AF4831" w:rsidP="00FE520B">
      <w:r>
        <w:separator/>
      </w:r>
    </w:p>
  </w:endnote>
  <w:endnote w:type="continuationSeparator" w:id="0">
    <w:p w14:paraId="35867CEB" w14:textId="77777777" w:rsidR="00AF4831" w:rsidRDefault="00AF483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6BBAC42B" w:rsidR="008F2E00" w:rsidRPr="000951FB" w:rsidRDefault="00B57F32" w:rsidP="00241A1F">
    <w:pPr>
      <w:pStyle w:val="Footer"/>
      <w:rPr>
        <w:rFonts w:cstheme="minorHAnsi"/>
        <w:b/>
        <w:szCs w:val="22"/>
      </w:rPr>
    </w:pPr>
    <w:r w:rsidRPr="000951FB">
      <w:rPr>
        <w:b/>
      </w:rPr>
      <w:t xml:space="preserve">Workpaper </w:t>
    </w:r>
    <w:r w:rsidR="00D00FF6" w:rsidRPr="00D00FF6">
      <w:rPr>
        <w:b/>
      </w:rPr>
      <w:t>WPSDGENRWH1209</w:t>
    </w:r>
    <w:r w:rsidRPr="000951FB">
      <w:rPr>
        <w:b/>
      </w:rPr>
      <w:t>, Revision</w:t>
    </w:r>
    <w:r w:rsidR="006D100F">
      <w:rPr>
        <w:b/>
      </w:rPr>
      <w:t xml:space="preserve"> </w:t>
    </w:r>
    <w:r w:rsidR="00D00FF6">
      <w:rPr>
        <w:b/>
      </w:rPr>
      <w:t>0</w:t>
    </w:r>
    <w:r w:rsidR="00E372B8" w:rsidRPr="000951FB">
      <w:rPr>
        <w:b/>
      </w:rPr>
      <w:tab/>
    </w:r>
    <w:r w:rsidR="00E372B8" w:rsidRPr="000951FB">
      <w:rPr>
        <w:b/>
      </w:rPr>
      <w:tab/>
    </w:r>
    <w:r w:rsidR="00063E35">
      <w:rPr>
        <w:rFonts w:cstheme="minorHAnsi"/>
        <w:b/>
        <w:szCs w:val="22"/>
      </w:rPr>
      <w:t>May 3</w:t>
    </w:r>
    <w:r w:rsidR="00D11030" w:rsidRPr="000951FB">
      <w:rPr>
        <w:rFonts w:cstheme="minorHAnsi"/>
        <w:b/>
        <w:szCs w:val="22"/>
      </w:rPr>
      <w:t>, 201</w:t>
    </w:r>
    <w:r w:rsidR="002A37FC">
      <w:rPr>
        <w:rFonts w:cstheme="minorHAnsi"/>
        <w:b/>
        <w:szCs w:val="22"/>
      </w:rPr>
      <w:t>9</w:t>
    </w:r>
  </w:p>
  <w:p w14:paraId="198790A9" w14:textId="65C0785B" w:rsidR="008F2E00" w:rsidRPr="009500DC" w:rsidRDefault="00E372B8" w:rsidP="00241A1F">
    <w:pPr>
      <w:pStyle w:val="Footer"/>
      <w:tabs>
        <w:tab w:val="clear" w:pos="4680"/>
        <w:tab w:val="clear" w:pos="9360"/>
        <w:tab w:val="left" w:pos="5274"/>
      </w:tabs>
      <w:rPr>
        <w:rFonts w:cstheme="minorHAnsi"/>
      </w:rPr>
    </w:pPr>
    <w:r w:rsidRPr="000951FB">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035F3" w14:textId="77777777" w:rsidR="00AF4831" w:rsidRDefault="00AF4831" w:rsidP="00FE520B">
      <w:r>
        <w:separator/>
      </w:r>
    </w:p>
  </w:footnote>
  <w:footnote w:type="continuationSeparator" w:id="0">
    <w:p w14:paraId="1E2F8CD3" w14:textId="77777777" w:rsidR="00AF4831" w:rsidRDefault="00AF4831"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55F9"/>
    <w:multiLevelType w:val="hybridMultilevel"/>
    <w:tmpl w:val="9A9CEC4C"/>
    <w:lvl w:ilvl="0" w:tplc="0409001B">
      <w:start w:val="1"/>
      <w:numFmt w:val="lowerRoman"/>
      <w:lvlText w:val="%1."/>
      <w:lvlJc w:val="right"/>
      <w:pPr>
        <w:ind w:left="1440" w:hanging="360"/>
      </w:pPr>
      <w:rPr>
        <w:rFonts w:hint="default"/>
        <w:color w:val="auto"/>
      </w:rPr>
    </w:lvl>
    <w:lvl w:ilvl="1" w:tplc="0409001B">
      <w:start w:val="1"/>
      <w:numFmt w:val="lowerRoman"/>
      <w:lvlText w:val="%2."/>
      <w:lvlJc w:val="righ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E239D0"/>
    <w:multiLevelType w:val="hybridMultilevel"/>
    <w:tmpl w:val="00D40F74"/>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DA1931"/>
    <w:multiLevelType w:val="hybridMultilevel"/>
    <w:tmpl w:val="DCECC536"/>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03369C"/>
    <w:multiLevelType w:val="hybridMultilevel"/>
    <w:tmpl w:val="AA283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07C3B"/>
    <w:multiLevelType w:val="hybridMultilevel"/>
    <w:tmpl w:val="B8A6281A"/>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542F74"/>
    <w:multiLevelType w:val="hybridMultilevel"/>
    <w:tmpl w:val="3706362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7081C3C"/>
    <w:multiLevelType w:val="hybridMultilevel"/>
    <w:tmpl w:val="CFC2EC5C"/>
    <w:lvl w:ilvl="0" w:tplc="5EE277A0">
      <w:start w:val="1"/>
      <w:numFmt w:val="bullet"/>
      <w:lvlText w:val=""/>
      <w:lvlJc w:val="left"/>
      <w:pPr>
        <w:ind w:left="720" w:hanging="360"/>
      </w:pPr>
      <w:rPr>
        <w:rFonts w:ascii="Symbol" w:hAnsi="Symbol" w:hint="default"/>
        <w:color w:val="auto"/>
      </w:rPr>
    </w:lvl>
    <w:lvl w:ilvl="1" w:tplc="0409001B">
      <w:start w:val="1"/>
      <w:numFmt w:val="lowerRoman"/>
      <w:lvlText w:val="%2."/>
      <w:lvlJc w:val="right"/>
      <w:pPr>
        <w:ind w:left="1440" w:hanging="360"/>
      </w:pPr>
      <w:rPr>
        <w:rFonts w:hint="default"/>
        <w:color w:val="auto"/>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732C04"/>
    <w:multiLevelType w:val="hybridMultilevel"/>
    <w:tmpl w:val="670E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14"/>
  </w:num>
  <w:num w:numId="5">
    <w:abstractNumId w:val="19"/>
  </w:num>
  <w:num w:numId="6">
    <w:abstractNumId w:val="8"/>
  </w:num>
  <w:num w:numId="7">
    <w:abstractNumId w:val="29"/>
  </w:num>
  <w:num w:numId="8">
    <w:abstractNumId w:val="24"/>
  </w:num>
  <w:num w:numId="9">
    <w:abstractNumId w:val="9"/>
  </w:num>
  <w:num w:numId="10">
    <w:abstractNumId w:val="25"/>
  </w:num>
  <w:num w:numId="11">
    <w:abstractNumId w:val="28"/>
  </w:num>
  <w:num w:numId="12">
    <w:abstractNumId w:val="17"/>
  </w:num>
  <w:num w:numId="13">
    <w:abstractNumId w:val="30"/>
  </w:num>
  <w:num w:numId="14">
    <w:abstractNumId w:val="16"/>
  </w:num>
  <w:num w:numId="15">
    <w:abstractNumId w:val="18"/>
  </w:num>
  <w:num w:numId="16">
    <w:abstractNumId w:val="22"/>
  </w:num>
  <w:num w:numId="17">
    <w:abstractNumId w:val="15"/>
  </w:num>
  <w:num w:numId="18">
    <w:abstractNumId w:val="2"/>
  </w:num>
  <w:num w:numId="19">
    <w:abstractNumId w:val="11"/>
  </w:num>
  <w:num w:numId="20">
    <w:abstractNumId w:val="21"/>
    <w:lvlOverride w:ilvl="0"/>
    <w:lvlOverride w:ilvl="1">
      <w:startOverride w:val="1"/>
    </w:lvlOverride>
    <w:lvlOverride w:ilvl="2"/>
    <w:lvlOverride w:ilvl="3"/>
    <w:lvlOverride w:ilvl="4"/>
    <w:lvlOverride w:ilvl="5"/>
    <w:lvlOverride w:ilvl="6"/>
    <w:lvlOverride w:ilvl="7"/>
    <w:lvlOverride w:ilvl="8"/>
  </w:num>
  <w:num w:numId="21">
    <w:abstractNumId w:val="13"/>
  </w:num>
  <w:num w:numId="22">
    <w:abstractNumId w:val="10"/>
  </w:num>
  <w:num w:numId="23">
    <w:abstractNumId w:val="26"/>
  </w:num>
  <w:num w:numId="24">
    <w:abstractNumId w:val="4"/>
  </w:num>
  <w:num w:numId="25">
    <w:abstractNumId w:val="1"/>
  </w:num>
  <w:num w:numId="26">
    <w:abstractNumId w:val="20"/>
  </w:num>
  <w:num w:numId="27">
    <w:abstractNumId w:val="3"/>
  </w:num>
  <w:num w:numId="28">
    <w:abstractNumId w:val="27"/>
  </w:num>
  <w:num w:numId="29">
    <w:abstractNumId w:val="0"/>
  </w:num>
  <w:num w:numId="30">
    <w:abstractNumId w:val="2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D4E"/>
    <w:rsid w:val="0000540F"/>
    <w:rsid w:val="0001044B"/>
    <w:rsid w:val="00011964"/>
    <w:rsid w:val="00020336"/>
    <w:rsid w:val="00023C32"/>
    <w:rsid w:val="00026FA7"/>
    <w:rsid w:val="00031221"/>
    <w:rsid w:val="00031BA0"/>
    <w:rsid w:val="000357D5"/>
    <w:rsid w:val="00036A2C"/>
    <w:rsid w:val="00051762"/>
    <w:rsid w:val="00052743"/>
    <w:rsid w:val="00052CE4"/>
    <w:rsid w:val="00061B30"/>
    <w:rsid w:val="00063E35"/>
    <w:rsid w:val="00067315"/>
    <w:rsid w:val="00067AF1"/>
    <w:rsid w:val="000719BF"/>
    <w:rsid w:val="000951FB"/>
    <w:rsid w:val="000A04AA"/>
    <w:rsid w:val="000A2B83"/>
    <w:rsid w:val="000A38B1"/>
    <w:rsid w:val="000A3A47"/>
    <w:rsid w:val="000A3D1F"/>
    <w:rsid w:val="000B6542"/>
    <w:rsid w:val="000C13AE"/>
    <w:rsid w:val="000C19C4"/>
    <w:rsid w:val="000C441A"/>
    <w:rsid w:val="000C47EE"/>
    <w:rsid w:val="000D0321"/>
    <w:rsid w:val="000D243C"/>
    <w:rsid w:val="000E19CA"/>
    <w:rsid w:val="000E2BAF"/>
    <w:rsid w:val="000E2CA6"/>
    <w:rsid w:val="000E53DD"/>
    <w:rsid w:val="000E6540"/>
    <w:rsid w:val="000E65D6"/>
    <w:rsid w:val="000E69F0"/>
    <w:rsid w:val="000F5B93"/>
    <w:rsid w:val="000F6BA3"/>
    <w:rsid w:val="000F72EF"/>
    <w:rsid w:val="001039B0"/>
    <w:rsid w:val="001046CB"/>
    <w:rsid w:val="001073E7"/>
    <w:rsid w:val="00114EEC"/>
    <w:rsid w:val="00121B4E"/>
    <w:rsid w:val="0012271D"/>
    <w:rsid w:val="00124ABC"/>
    <w:rsid w:val="00131C78"/>
    <w:rsid w:val="00132B69"/>
    <w:rsid w:val="00143843"/>
    <w:rsid w:val="001505DA"/>
    <w:rsid w:val="001518E0"/>
    <w:rsid w:val="00156B93"/>
    <w:rsid w:val="0016189C"/>
    <w:rsid w:val="00164859"/>
    <w:rsid w:val="001752E5"/>
    <w:rsid w:val="00183A2F"/>
    <w:rsid w:val="0018637F"/>
    <w:rsid w:val="00194466"/>
    <w:rsid w:val="00194CE5"/>
    <w:rsid w:val="00197910"/>
    <w:rsid w:val="001979FF"/>
    <w:rsid w:val="001A11C1"/>
    <w:rsid w:val="001A2A67"/>
    <w:rsid w:val="001A4875"/>
    <w:rsid w:val="001B1C8A"/>
    <w:rsid w:val="001B5D6C"/>
    <w:rsid w:val="001C3663"/>
    <w:rsid w:val="001C734D"/>
    <w:rsid w:val="001D0AB9"/>
    <w:rsid w:val="001D57D7"/>
    <w:rsid w:val="001D6A64"/>
    <w:rsid w:val="001E1F6A"/>
    <w:rsid w:val="001E457A"/>
    <w:rsid w:val="001F36D8"/>
    <w:rsid w:val="001F64F8"/>
    <w:rsid w:val="00200310"/>
    <w:rsid w:val="00201A3F"/>
    <w:rsid w:val="00215828"/>
    <w:rsid w:val="00231DE1"/>
    <w:rsid w:val="00235AFB"/>
    <w:rsid w:val="00241A1F"/>
    <w:rsid w:val="00244447"/>
    <w:rsid w:val="00244805"/>
    <w:rsid w:val="00276B77"/>
    <w:rsid w:val="00280773"/>
    <w:rsid w:val="00285F4F"/>
    <w:rsid w:val="00291B2B"/>
    <w:rsid w:val="00295895"/>
    <w:rsid w:val="00296AC9"/>
    <w:rsid w:val="002A03C1"/>
    <w:rsid w:val="002A37FC"/>
    <w:rsid w:val="002B14BB"/>
    <w:rsid w:val="002C1030"/>
    <w:rsid w:val="002C15E6"/>
    <w:rsid w:val="002D0BD6"/>
    <w:rsid w:val="002D1FF2"/>
    <w:rsid w:val="002D512A"/>
    <w:rsid w:val="002D7807"/>
    <w:rsid w:val="002D7B3E"/>
    <w:rsid w:val="002E0948"/>
    <w:rsid w:val="002E24BE"/>
    <w:rsid w:val="002F24CE"/>
    <w:rsid w:val="00303D94"/>
    <w:rsid w:val="003065AF"/>
    <w:rsid w:val="003115FE"/>
    <w:rsid w:val="00314DF5"/>
    <w:rsid w:val="00315EE8"/>
    <w:rsid w:val="00323C28"/>
    <w:rsid w:val="0032761E"/>
    <w:rsid w:val="0034557D"/>
    <w:rsid w:val="003607BA"/>
    <w:rsid w:val="00360CFA"/>
    <w:rsid w:val="00373EC5"/>
    <w:rsid w:val="0038493A"/>
    <w:rsid w:val="0039166D"/>
    <w:rsid w:val="00397A6D"/>
    <w:rsid w:val="003A0D2B"/>
    <w:rsid w:val="003A27B4"/>
    <w:rsid w:val="003A4277"/>
    <w:rsid w:val="003A516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03D8"/>
    <w:rsid w:val="004025F7"/>
    <w:rsid w:val="00402B3D"/>
    <w:rsid w:val="00404A43"/>
    <w:rsid w:val="00413EF4"/>
    <w:rsid w:val="00416118"/>
    <w:rsid w:val="00417E91"/>
    <w:rsid w:val="00431763"/>
    <w:rsid w:val="004402EE"/>
    <w:rsid w:val="004452CE"/>
    <w:rsid w:val="0044686E"/>
    <w:rsid w:val="00446BE5"/>
    <w:rsid w:val="004519B4"/>
    <w:rsid w:val="004638E4"/>
    <w:rsid w:val="00465C29"/>
    <w:rsid w:val="00467DB3"/>
    <w:rsid w:val="00470997"/>
    <w:rsid w:val="004748BE"/>
    <w:rsid w:val="00492365"/>
    <w:rsid w:val="004A6215"/>
    <w:rsid w:val="004B01C6"/>
    <w:rsid w:val="004B77DF"/>
    <w:rsid w:val="004D0326"/>
    <w:rsid w:val="004D4511"/>
    <w:rsid w:val="004D5D19"/>
    <w:rsid w:val="004E13B2"/>
    <w:rsid w:val="004E1E7E"/>
    <w:rsid w:val="004F3B6F"/>
    <w:rsid w:val="00504769"/>
    <w:rsid w:val="00513723"/>
    <w:rsid w:val="005204CF"/>
    <w:rsid w:val="005229EF"/>
    <w:rsid w:val="005248E2"/>
    <w:rsid w:val="00525D38"/>
    <w:rsid w:val="00535094"/>
    <w:rsid w:val="005428E1"/>
    <w:rsid w:val="00543687"/>
    <w:rsid w:val="00555671"/>
    <w:rsid w:val="005613FC"/>
    <w:rsid w:val="00567FEF"/>
    <w:rsid w:val="00577FD8"/>
    <w:rsid w:val="00580664"/>
    <w:rsid w:val="0059117D"/>
    <w:rsid w:val="00591D85"/>
    <w:rsid w:val="0059663B"/>
    <w:rsid w:val="00597853"/>
    <w:rsid w:val="005A08D4"/>
    <w:rsid w:val="005B3A59"/>
    <w:rsid w:val="005B5614"/>
    <w:rsid w:val="005C1518"/>
    <w:rsid w:val="005D0DA1"/>
    <w:rsid w:val="005D1858"/>
    <w:rsid w:val="005D5D5A"/>
    <w:rsid w:val="005D684A"/>
    <w:rsid w:val="005E18A1"/>
    <w:rsid w:val="005F021A"/>
    <w:rsid w:val="005F46E1"/>
    <w:rsid w:val="00606E8C"/>
    <w:rsid w:val="00614832"/>
    <w:rsid w:val="006173CC"/>
    <w:rsid w:val="0062124C"/>
    <w:rsid w:val="0062489A"/>
    <w:rsid w:val="00636490"/>
    <w:rsid w:val="006374F1"/>
    <w:rsid w:val="00650C31"/>
    <w:rsid w:val="00650F0D"/>
    <w:rsid w:val="0065373B"/>
    <w:rsid w:val="00653C4B"/>
    <w:rsid w:val="006576E4"/>
    <w:rsid w:val="00666CDA"/>
    <w:rsid w:val="0067429F"/>
    <w:rsid w:val="00677A43"/>
    <w:rsid w:val="00682E19"/>
    <w:rsid w:val="00684ABA"/>
    <w:rsid w:val="00686789"/>
    <w:rsid w:val="006875B3"/>
    <w:rsid w:val="00695478"/>
    <w:rsid w:val="006A2C49"/>
    <w:rsid w:val="006A3E63"/>
    <w:rsid w:val="006A4C65"/>
    <w:rsid w:val="006B0D5C"/>
    <w:rsid w:val="006B3496"/>
    <w:rsid w:val="006B4F62"/>
    <w:rsid w:val="006C187B"/>
    <w:rsid w:val="006C63A0"/>
    <w:rsid w:val="006D03F9"/>
    <w:rsid w:val="006D100F"/>
    <w:rsid w:val="006D2B70"/>
    <w:rsid w:val="006D7038"/>
    <w:rsid w:val="006E306B"/>
    <w:rsid w:val="00707736"/>
    <w:rsid w:val="00711B58"/>
    <w:rsid w:val="00722C9C"/>
    <w:rsid w:val="00727839"/>
    <w:rsid w:val="007450D5"/>
    <w:rsid w:val="00752529"/>
    <w:rsid w:val="0075514D"/>
    <w:rsid w:val="00757057"/>
    <w:rsid w:val="00762D81"/>
    <w:rsid w:val="00764A26"/>
    <w:rsid w:val="0078006D"/>
    <w:rsid w:val="0078177A"/>
    <w:rsid w:val="00784F08"/>
    <w:rsid w:val="00785AC8"/>
    <w:rsid w:val="00786E32"/>
    <w:rsid w:val="00787D7C"/>
    <w:rsid w:val="00792928"/>
    <w:rsid w:val="00797B54"/>
    <w:rsid w:val="007B18FE"/>
    <w:rsid w:val="007C544A"/>
    <w:rsid w:val="007D1A21"/>
    <w:rsid w:val="007D1F1E"/>
    <w:rsid w:val="007D3A21"/>
    <w:rsid w:val="007D4F8E"/>
    <w:rsid w:val="007D6FF1"/>
    <w:rsid w:val="007E5A84"/>
    <w:rsid w:val="007E6B58"/>
    <w:rsid w:val="007E7E00"/>
    <w:rsid w:val="007F3796"/>
    <w:rsid w:val="008043F4"/>
    <w:rsid w:val="008078B2"/>
    <w:rsid w:val="0081326E"/>
    <w:rsid w:val="008137B0"/>
    <w:rsid w:val="0081521B"/>
    <w:rsid w:val="0081521F"/>
    <w:rsid w:val="00821517"/>
    <w:rsid w:val="008301EC"/>
    <w:rsid w:val="00856FA4"/>
    <w:rsid w:val="00862113"/>
    <w:rsid w:val="008631AA"/>
    <w:rsid w:val="00870139"/>
    <w:rsid w:val="008724D6"/>
    <w:rsid w:val="008775D7"/>
    <w:rsid w:val="00881BC9"/>
    <w:rsid w:val="00884AC7"/>
    <w:rsid w:val="00884B9C"/>
    <w:rsid w:val="00895D80"/>
    <w:rsid w:val="00896B4F"/>
    <w:rsid w:val="008A0678"/>
    <w:rsid w:val="008A1557"/>
    <w:rsid w:val="008A1D1C"/>
    <w:rsid w:val="008A4224"/>
    <w:rsid w:val="008B5184"/>
    <w:rsid w:val="008B55C2"/>
    <w:rsid w:val="008C01F7"/>
    <w:rsid w:val="008C1BDA"/>
    <w:rsid w:val="008C2C8A"/>
    <w:rsid w:val="008D0B3C"/>
    <w:rsid w:val="008E05E3"/>
    <w:rsid w:val="008E0850"/>
    <w:rsid w:val="008E16E9"/>
    <w:rsid w:val="008E5CD5"/>
    <w:rsid w:val="008F7570"/>
    <w:rsid w:val="0090016E"/>
    <w:rsid w:val="00903A2C"/>
    <w:rsid w:val="00910D54"/>
    <w:rsid w:val="0091470C"/>
    <w:rsid w:val="00920B07"/>
    <w:rsid w:val="00925509"/>
    <w:rsid w:val="00934138"/>
    <w:rsid w:val="0093460A"/>
    <w:rsid w:val="00934C34"/>
    <w:rsid w:val="0093657B"/>
    <w:rsid w:val="009374BC"/>
    <w:rsid w:val="0094267E"/>
    <w:rsid w:val="00950249"/>
    <w:rsid w:val="00951306"/>
    <w:rsid w:val="00957C01"/>
    <w:rsid w:val="009618BA"/>
    <w:rsid w:val="00963C3D"/>
    <w:rsid w:val="00970B1F"/>
    <w:rsid w:val="00985CB7"/>
    <w:rsid w:val="00986A83"/>
    <w:rsid w:val="00990955"/>
    <w:rsid w:val="00993CC0"/>
    <w:rsid w:val="009963C3"/>
    <w:rsid w:val="009B0B5F"/>
    <w:rsid w:val="009B5444"/>
    <w:rsid w:val="009C3F2D"/>
    <w:rsid w:val="009C6AE8"/>
    <w:rsid w:val="009E1662"/>
    <w:rsid w:val="009F3770"/>
    <w:rsid w:val="00A051D9"/>
    <w:rsid w:val="00A1178D"/>
    <w:rsid w:val="00A21344"/>
    <w:rsid w:val="00A21710"/>
    <w:rsid w:val="00A24899"/>
    <w:rsid w:val="00A3243C"/>
    <w:rsid w:val="00A3401B"/>
    <w:rsid w:val="00A52998"/>
    <w:rsid w:val="00A578F7"/>
    <w:rsid w:val="00A57E11"/>
    <w:rsid w:val="00A61271"/>
    <w:rsid w:val="00A61616"/>
    <w:rsid w:val="00A741B2"/>
    <w:rsid w:val="00A75EDC"/>
    <w:rsid w:val="00A827AB"/>
    <w:rsid w:val="00A82AF8"/>
    <w:rsid w:val="00A854EE"/>
    <w:rsid w:val="00A86ECB"/>
    <w:rsid w:val="00A90F14"/>
    <w:rsid w:val="00A9441E"/>
    <w:rsid w:val="00A96751"/>
    <w:rsid w:val="00AA43C4"/>
    <w:rsid w:val="00AB5449"/>
    <w:rsid w:val="00AC3C21"/>
    <w:rsid w:val="00AC696A"/>
    <w:rsid w:val="00AD034F"/>
    <w:rsid w:val="00AD3663"/>
    <w:rsid w:val="00AD74B2"/>
    <w:rsid w:val="00AE4353"/>
    <w:rsid w:val="00AE43B2"/>
    <w:rsid w:val="00AE4D93"/>
    <w:rsid w:val="00AF368D"/>
    <w:rsid w:val="00AF4831"/>
    <w:rsid w:val="00B00846"/>
    <w:rsid w:val="00B079DA"/>
    <w:rsid w:val="00B16652"/>
    <w:rsid w:val="00B26A01"/>
    <w:rsid w:val="00B26A30"/>
    <w:rsid w:val="00B30BB9"/>
    <w:rsid w:val="00B35E61"/>
    <w:rsid w:val="00B42039"/>
    <w:rsid w:val="00B435A3"/>
    <w:rsid w:val="00B471CC"/>
    <w:rsid w:val="00B47B58"/>
    <w:rsid w:val="00B512B8"/>
    <w:rsid w:val="00B521D4"/>
    <w:rsid w:val="00B57F32"/>
    <w:rsid w:val="00B61FCD"/>
    <w:rsid w:val="00B75260"/>
    <w:rsid w:val="00B7668F"/>
    <w:rsid w:val="00B8285F"/>
    <w:rsid w:val="00B82CF8"/>
    <w:rsid w:val="00B90F97"/>
    <w:rsid w:val="00B9234D"/>
    <w:rsid w:val="00B9551F"/>
    <w:rsid w:val="00BA1B6B"/>
    <w:rsid w:val="00BB285E"/>
    <w:rsid w:val="00BB2D80"/>
    <w:rsid w:val="00BB759F"/>
    <w:rsid w:val="00BC237D"/>
    <w:rsid w:val="00BC6454"/>
    <w:rsid w:val="00BD0032"/>
    <w:rsid w:val="00BD4AFD"/>
    <w:rsid w:val="00BD5433"/>
    <w:rsid w:val="00BD600D"/>
    <w:rsid w:val="00BF0EBE"/>
    <w:rsid w:val="00C048F4"/>
    <w:rsid w:val="00C05E32"/>
    <w:rsid w:val="00C06B9E"/>
    <w:rsid w:val="00C131CB"/>
    <w:rsid w:val="00C14DCC"/>
    <w:rsid w:val="00C15F66"/>
    <w:rsid w:val="00C228B0"/>
    <w:rsid w:val="00C23CAB"/>
    <w:rsid w:val="00C414A6"/>
    <w:rsid w:val="00C44E5A"/>
    <w:rsid w:val="00C462C1"/>
    <w:rsid w:val="00C52867"/>
    <w:rsid w:val="00C54AC6"/>
    <w:rsid w:val="00C6110B"/>
    <w:rsid w:val="00C62A00"/>
    <w:rsid w:val="00C63184"/>
    <w:rsid w:val="00C7215A"/>
    <w:rsid w:val="00C75814"/>
    <w:rsid w:val="00C80C9D"/>
    <w:rsid w:val="00C87D02"/>
    <w:rsid w:val="00C9108E"/>
    <w:rsid w:val="00CA1C3F"/>
    <w:rsid w:val="00CA43ED"/>
    <w:rsid w:val="00CA48A0"/>
    <w:rsid w:val="00CB10BC"/>
    <w:rsid w:val="00CC1060"/>
    <w:rsid w:val="00CD0996"/>
    <w:rsid w:val="00CD0F98"/>
    <w:rsid w:val="00CF295D"/>
    <w:rsid w:val="00CF2ABA"/>
    <w:rsid w:val="00D00FF6"/>
    <w:rsid w:val="00D02F02"/>
    <w:rsid w:val="00D11030"/>
    <w:rsid w:val="00D122BD"/>
    <w:rsid w:val="00D201A1"/>
    <w:rsid w:val="00D204BF"/>
    <w:rsid w:val="00D27B1F"/>
    <w:rsid w:val="00D33B3A"/>
    <w:rsid w:val="00D4142C"/>
    <w:rsid w:val="00D427BC"/>
    <w:rsid w:val="00D54EC4"/>
    <w:rsid w:val="00D60240"/>
    <w:rsid w:val="00D645DB"/>
    <w:rsid w:val="00D73600"/>
    <w:rsid w:val="00D73723"/>
    <w:rsid w:val="00D85BDB"/>
    <w:rsid w:val="00DA4D9F"/>
    <w:rsid w:val="00DA5D17"/>
    <w:rsid w:val="00DA71C0"/>
    <w:rsid w:val="00DB0604"/>
    <w:rsid w:val="00DB544A"/>
    <w:rsid w:val="00DB6288"/>
    <w:rsid w:val="00DB71F1"/>
    <w:rsid w:val="00DC42DE"/>
    <w:rsid w:val="00DC4FA7"/>
    <w:rsid w:val="00DC7243"/>
    <w:rsid w:val="00DD2F3D"/>
    <w:rsid w:val="00DD7BCB"/>
    <w:rsid w:val="00DE1C5D"/>
    <w:rsid w:val="00DE364E"/>
    <w:rsid w:val="00DE5AC3"/>
    <w:rsid w:val="00DE68A8"/>
    <w:rsid w:val="00E037BE"/>
    <w:rsid w:val="00E048EA"/>
    <w:rsid w:val="00E05871"/>
    <w:rsid w:val="00E05B9C"/>
    <w:rsid w:val="00E159C8"/>
    <w:rsid w:val="00E165FC"/>
    <w:rsid w:val="00E20B60"/>
    <w:rsid w:val="00E21FEA"/>
    <w:rsid w:val="00E33C12"/>
    <w:rsid w:val="00E372B8"/>
    <w:rsid w:val="00E408A9"/>
    <w:rsid w:val="00E455B7"/>
    <w:rsid w:val="00E472EA"/>
    <w:rsid w:val="00E56CE7"/>
    <w:rsid w:val="00E6385A"/>
    <w:rsid w:val="00E6631C"/>
    <w:rsid w:val="00E733C7"/>
    <w:rsid w:val="00E74325"/>
    <w:rsid w:val="00E76853"/>
    <w:rsid w:val="00E800A8"/>
    <w:rsid w:val="00E83424"/>
    <w:rsid w:val="00E84938"/>
    <w:rsid w:val="00E859F0"/>
    <w:rsid w:val="00E9295E"/>
    <w:rsid w:val="00EA6DCC"/>
    <w:rsid w:val="00EB2DBB"/>
    <w:rsid w:val="00EC2C0C"/>
    <w:rsid w:val="00EC2ECD"/>
    <w:rsid w:val="00EC34A0"/>
    <w:rsid w:val="00EC38B0"/>
    <w:rsid w:val="00EC550F"/>
    <w:rsid w:val="00ED2993"/>
    <w:rsid w:val="00ED3137"/>
    <w:rsid w:val="00ED3B34"/>
    <w:rsid w:val="00ED65C0"/>
    <w:rsid w:val="00EE38DA"/>
    <w:rsid w:val="00EE5BCB"/>
    <w:rsid w:val="00EE6CFE"/>
    <w:rsid w:val="00EF4D76"/>
    <w:rsid w:val="00F117C6"/>
    <w:rsid w:val="00F22251"/>
    <w:rsid w:val="00F3167F"/>
    <w:rsid w:val="00F4328B"/>
    <w:rsid w:val="00F44876"/>
    <w:rsid w:val="00F52060"/>
    <w:rsid w:val="00F66B1B"/>
    <w:rsid w:val="00F7209B"/>
    <w:rsid w:val="00F77C08"/>
    <w:rsid w:val="00F855DD"/>
    <w:rsid w:val="00F915C5"/>
    <w:rsid w:val="00FA3359"/>
    <w:rsid w:val="00FB3F41"/>
    <w:rsid w:val="00FB4B16"/>
    <w:rsid w:val="00FB6C42"/>
    <w:rsid w:val="00FB72D4"/>
    <w:rsid w:val="00FC1793"/>
    <w:rsid w:val="00FD0565"/>
    <w:rsid w:val="00FD3D43"/>
    <w:rsid w:val="00FE45E6"/>
    <w:rsid w:val="00FE520B"/>
    <w:rsid w:val="00FE636E"/>
    <w:rsid w:val="00FF1796"/>
    <w:rsid w:val="00FF1E51"/>
    <w:rsid w:val="00FF31F5"/>
    <w:rsid w:val="00FF6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 w:type="paragraph" w:customStyle="1" w:styleId="ART">
    <w:name w:val="ART"/>
    <w:basedOn w:val="Normal"/>
    <w:next w:val="PR1"/>
    <w:rsid w:val="000A3D1F"/>
    <w:pPr>
      <w:numPr>
        <w:ilvl w:val="1"/>
        <w:numId w:val="24"/>
      </w:numPr>
      <w:suppressAutoHyphens/>
      <w:spacing w:before="240" w:after="0" w:line="240" w:lineRule="auto"/>
      <w:outlineLvl w:val="1"/>
    </w:pPr>
    <w:rPr>
      <w:rFonts w:ascii="Arial" w:eastAsiaTheme="minorEastAsia" w:hAnsi="Arial"/>
      <w:b/>
      <w:caps/>
    </w:rPr>
  </w:style>
  <w:style w:type="paragraph" w:customStyle="1" w:styleId="PR1">
    <w:name w:val="PR1"/>
    <w:basedOn w:val="ART"/>
    <w:rsid w:val="000A3D1F"/>
    <w:pPr>
      <w:numPr>
        <w:ilvl w:val="2"/>
      </w:numPr>
      <w:outlineLvl w:val="2"/>
    </w:pPr>
    <w:rPr>
      <w:b w:val="0"/>
      <w:caps w:val="0"/>
    </w:rPr>
  </w:style>
  <w:style w:type="paragraph" w:customStyle="1" w:styleId="PR2">
    <w:name w:val="PR2"/>
    <w:basedOn w:val="PR1"/>
    <w:rsid w:val="000A3D1F"/>
    <w:pPr>
      <w:numPr>
        <w:ilvl w:val="3"/>
      </w:numPr>
      <w:spacing w:before="0"/>
      <w:outlineLvl w:val="3"/>
    </w:pPr>
  </w:style>
  <w:style w:type="paragraph" w:customStyle="1" w:styleId="PR3">
    <w:name w:val="PR3"/>
    <w:basedOn w:val="PR1"/>
    <w:rsid w:val="000A3D1F"/>
    <w:pPr>
      <w:numPr>
        <w:ilvl w:val="4"/>
      </w:numPr>
      <w:spacing w:before="0"/>
      <w:outlineLvl w:val="4"/>
    </w:pPr>
  </w:style>
  <w:style w:type="paragraph" w:customStyle="1" w:styleId="PR4">
    <w:name w:val="PR4"/>
    <w:basedOn w:val="PR1"/>
    <w:rsid w:val="000A3D1F"/>
    <w:pPr>
      <w:numPr>
        <w:ilvl w:val="5"/>
      </w:numPr>
      <w:tabs>
        <w:tab w:val="left" w:pos="2448"/>
      </w:tabs>
      <w:spacing w:before="0"/>
      <w:outlineLvl w:val="5"/>
    </w:pPr>
  </w:style>
  <w:style w:type="paragraph" w:customStyle="1" w:styleId="PR5">
    <w:name w:val="PR5"/>
    <w:basedOn w:val="PR1"/>
    <w:rsid w:val="000A3D1F"/>
    <w:pPr>
      <w:numPr>
        <w:ilvl w:val="6"/>
      </w:numPr>
      <w:spacing w:before="0"/>
      <w:outlineLvl w:val="6"/>
    </w:pPr>
  </w:style>
  <w:style w:type="paragraph" w:customStyle="1" w:styleId="PR6">
    <w:name w:val="PR6"/>
    <w:basedOn w:val="PR1"/>
    <w:rsid w:val="000A3D1F"/>
    <w:pPr>
      <w:numPr>
        <w:ilvl w:val="7"/>
      </w:numPr>
      <w:tabs>
        <w:tab w:val="left" w:pos="3744"/>
      </w:tabs>
      <w:spacing w:before="0"/>
      <w:outlineLvl w:val="7"/>
    </w:pPr>
  </w:style>
  <w:style w:type="paragraph" w:customStyle="1" w:styleId="PR7">
    <w:name w:val="PR7"/>
    <w:basedOn w:val="PR6"/>
    <w:rsid w:val="000A3D1F"/>
    <w:pPr>
      <w:numPr>
        <w:ilvl w:val="8"/>
      </w:numPr>
      <w:tabs>
        <w:tab w:val="left" w:pos="4464"/>
      </w:tabs>
    </w:pPr>
  </w:style>
  <w:style w:type="paragraph" w:customStyle="1" w:styleId="WPSCT">
    <w:name w:val="WPSCT"/>
    <w:basedOn w:val="Normal"/>
    <w:next w:val="ART"/>
    <w:qFormat/>
    <w:rsid w:val="000A3D1F"/>
    <w:pPr>
      <w:numPr>
        <w:numId w:val="24"/>
      </w:numPr>
      <w:suppressAutoHyphens/>
      <w:spacing w:before="240" w:after="0" w:line="240" w:lineRule="auto"/>
      <w:outlineLvl w:val="0"/>
    </w:pPr>
    <w:rPr>
      <w:rFonts w:ascii="Arial" w:eastAsiaTheme="minorEastAsia"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0208265">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358940880">
      <w:bodyDiv w:val="1"/>
      <w:marLeft w:val="0"/>
      <w:marRight w:val="0"/>
      <w:marTop w:val="0"/>
      <w:marBottom w:val="0"/>
      <w:divBdr>
        <w:top w:val="none" w:sz="0" w:space="0" w:color="auto"/>
        <w:left w:val="none" w:sz="0" w:space="0" w:color="auto"/>
        <w:bottom w:val="none" w:sz="0" w:space="0" w:color="auto"/>
        <w:right w:val="none" w:sz="0" w:space="0" w:color="auto"/>
      </w:divBdr>
    </w:div>
    <w:div w:id="467432736">
      <w:bodyDiv w:val="1"/>
      <w:marLeft w:val="0"/>
      <w:marRight w:val="0"/>
      <w:marTop w:val="0"/>
      <w:marBottom w:val="0"/>
      <w:divBdr>
        <w:top w:val="none" w:sz="0" w:space="0" w:color="auto"/>
        <w:left w:val="none" w:sz="0" w:space="0" w:color="auto"/>
        <w:bottom w:val="none" w:sz="0" w:space="0" w:color="auto"/>
        <w:right w:val="none" w:sz="0" w:space="0" w:color="auto"/>
      </w:divBdr>
    </w:div>
    <w:div w:id="513961151">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987053725">
      <w:bodyDiv w:val="1"/>
      <w:marLeft w:val="0"/>
      <w:marRight w:val="0"/>
      <w:marTop w:val="0"/>
      <w:marBottom w:val="0"/>
      <w:divBdr>
        <w:top w:val="none" w:sz="0" w:space="0" w:color="auto"/>
        <w:left w:val="none" w:sz="0" w:space="0" w:color="auto"/>
        <w:bottom w:val="none" w:sz="0" w:space="0" w:color="auto"/>
        <w:right w:val="none" w:sz="0" w:space="0" w:color="auto"/>
      </w:divBdr>
    </w:div>
    <w:div w:id="1290546513">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393852193">
      <w:bodyDiv w:val="1"/>
      <w:marLeft w:val="0"/>
      <w:marRight w:val="0"/>
      <w:marTop w:val="0"/>
      <w:marBottom w:val="0"/>
      <w:divBdr>
        <w:top w:val="none" w:sz="0" w:space="0" w:color="auto"/>
        <w:left w:val="none" w:sz="0" w:space="0" w:color="auto"/>
        <w:bottom w:val="none" w:sz="0" w:space="0" w:color="auto"/>
        <w:right w:val="none" w:sz="0" w:space="0" w:color="auto"/>
      </w:divBdr>
    </w:div>
    <w:div w:id="1551570256">
      <w:bodyDiv w:val="1"/>
      <w:marLeft w:val="0"/>
      <w:marRight w:val="0"/>
      <w:marTop w:val="0"/>
      <w:marBottom w:val="0"/>
      <w:divBdr>
        <w:top w:val="none" w:sz="0" w:space="0" w:color="auto"/>
        <w:left w:val="none" w:sz="0" w:space="0" w:color="auto"/>
        <w:bottom w:val="none" w:sz="0" w:space="0" w:color="auto"/>
        <w:right w:val="none" w:sz="0" w:space="0" w:color="auto"/>
      </w:divBdr>
    </w:div>
    <w:div w:id="1621689525">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0" Type="http://schemas.openxmlformats.org/officeDocument/2006/relationships/image" Target="media/image1.tmp"/><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7B42D4-1210-4683-AFD2-A77810613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2019-05-04T00:21:00Z</dcterms:created>
  <dcterms:modified xsi:type="dcterms:W3CDTF">2019-05-04T00:21:00Z</dcterms:modified>
</cp:coreProperties>
</file>